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89B1" w14:textId="2476AC53" w:rsidR="000C0A7E" w:rsidRDefault="000C0A7E" w:rsidP="000C0A7E">
      <w:pPr>
        <w:spacing w:before="100" w:beforeAutospacing="1" w:after="40" w:line="336" w:lineRule="auto"/>
        <w:jc w:val="both"/>
      </w:pPr>
      <w:bookmarkStart w:id="0" w:name="_Hlk78908018"/>
    </w:p>
    <w:p w14:paraId="77BDA35F" w14:textId="77777777" w:rsidR="009601E9" w:rsidRDefault="009601E9" w:rsidP="000C0A7E">
      <w:pPr>
        <w:spacing w:before="100" w:beforeAutospacing="1" w:after="40" w:line="336" w:lineRule="auto"/>
        <w:jc w:val="both"/>
      </w:pPr>
    </w:p>
    <w:p w14:paraId="3671DDBA" w14:textId="41D6F2CE" w:rsidR="00036B23" w:rsidRDefault="00441773" w:rsidP="00036B23">
      <w:pPr>
        <w:spacing w:before="100" w:beforeAutospacing="1" w:after="40" w:line="336" w:lineRule="auto"/>
        <w:jc w:val="center"/>
        <w:rPr>
          <w:rFonts w:ascii="Arial" w:hAnsi="Arial"/>
          <w:b/>
          <w:sz w:val="26"/>
          <w:szCs w:val="26"/>
        </w:rPr>
      </w:pPr>
      <w:proofErr w:type="spellStart"/>
      <w:r>
        <w:rPr>
          <w:rFonts w:ascii="Arial" w:hAnsi="Arial"/>
          <w:b/>
          <w:sz w:val="26"/>
          <w:szCs w:val="26"/>
        </w:rPr>
        <w:t>Savills</w:t>
      </w:r>
      <w:proofErr w:type="spellEnd"/>
      <w:r>
        <w:rPr>
          <w:rFonts w:ascii="Arial" w:hAnsi="Arial"/>
          <w:b/>
          <w:sz w:val="26"/>
          <w:szCs w:val="26"/>
        </w:rPr>
        <w:t xml:space="preserve"> Investment Management Outlook 2024:</w:t>
      </w:r>
    </w:p>
    <w:p w14:paraId="2469FE11" w14:textId="3721FF55" w:rsidR="00441773" w:rsidRDefault="00F21351" w:rsidP="00036B23">
      <w:pPr>
        <w:spacing w:before="100" w:beforeAutospacing="1" w:after="40" w:line="336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Perspektywy</w:t>
      </w:r>
      <w:r w:rsidR="009315A1">
        <w:rPr>
          <w:rFonts w:ascii="Arial" w:hAnsi="Arial"/>
          <w:b/>
          <w:sz w:val="26"/>
          <w:szCs w:val="26"/>
        </w:rPr>
        <w:t xml:space="preserve"> inwestycyjne</w:t>
      </w:r>
      <w:r w:rsidR="00441773">
        <w:rPr>
          <w:rFonts w:ascii="Arial" w:hAnsi="Arial"/>
          <w:b/>
          <w:sz w:val="26"/>
          <w:szCs w:val="26"/>
        </w:rPr>
        <w:t xml:space="preserve"> w sektorach </w:t>
      </w:r>
      <w:r w:rsidR="0077706D">
        <w:rPr>
          <w:rFonts w:ascii="Arial" w:hAnsi="Arial"/>
          <w:b/>
          <w:sz w:val="26"/>
          <w:szCs w:val="26"/>
        </w:rPr>
        <w:t>mieszkaniowym</w:t>
      </w:r>
      <w:r w:rsidR="00441773">
        <w:rPr>
          <w:rFonts w:ascii="Arial" w:hAnsi="Arial"/>
          <w:b/>
          <w:sz w:val="26"/>
          <w:szCs w:val="26"/>
        </w:rPr>
        <w:t xml:space="preserve">, </w:t>
      </w:r>
      <w:r w:rsidR="0077706D">
        <w:rPr>
          <w:rFonts w:ascii="Arial" w:hAnsi="Arial"/>
          <w:b/>
          <w:sz w:val="26"/>
          <w:szCs w:val="26"/>
        </w:rPr>
        <w:t>magazynowym</w:t>
      </w:r>
      <w:r w:rsidR="00441773">
        <w:rPr>
          <w:rFonts w:ascii="Arial" w:hAnsi="Arial"/>
          <w:b/>
          <w:sz w:val="26"/>
          <w:szCs w:val="26"/>
        </w:rPr>
        <w:t>, finansowania zabezpieczonego nieruchomościami oraz kapitału naturalnego.</w:t>
      </w:r>
    </w:p>
    <w:p w14:paraId="21C42ADD" w14:textId="47997EF4" w:rsidR="00AB598E" w:rsidRDefault="00036B23" w:rsidP="4F104897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4F104897">
        <w:rPr>
          <w:rFonts w:ascii="Arial" w:hAnsi="Arial" w:cs="Arial"/>
          <w:b/>
          <w:bCs/>
          <w:sz w:val="20"/>
          <w:szCs w:val="20"/>
        </w:rPr>
        <w:t>5</w:t>
      </w:r>
      <w:r w:rsidR="00A47763" w:rsidRPr="4F104897">
        <w:rPr>
          <w:rFonts w:ascii="Arial" w:hAnsi="Arial" w:cs="Arial"/>
          <w:b/>
          <w:bCs/>
          <w:sz w:val="20"/>
          <w:szCs w:val="20"/>
        </w:rPr>
        <w:t xml:space="preserve"> grudnia 202</w:t>
      </w:r>
      <w:r w:rsidR="0097063A" w:rsidRPr="4F104897">
        <w:rPr>
          <w:rFonts w:ascii="Arial" w:hAnsi="Arial" w:cs="Arial"/>
          <w:b/>
          <w:bCs/>
          <w:sz w:val="20"/>
          <w:szCs w:val="20"/>
        </w:rPr>
        <w:t>3</w:t>
      </w:r>
      <w:r w:rsidR="00A47763" w:rsidRPr="4F104897">
        <w:rPr>
          <w:rFonts w:ascii="Arial" w:hAnsi="Arial" w:cs="Arial"/>
          <w:b/>
          <w:bCs/>
          <w:sz w:val="20"/>
          <w:szCs w:val="20"/>
        </w:rPr>
        <w:t xml:space="preserve"> r</w:t>
      </w:r>
      <w:r w:rsidR="00AB598E" w:rsidRPr="4F104897">
        <w:rPr>
          <w:rFonts w:ascii="Arial" w:hAnsi="Arial" w:cs="Arial"/>
          <w:b/>
          <w:bCs/>
          <w:sz w:val="20"/>
          <w:szCs w:val="20"/>
        </w:rPr>
        <w:t>oku</w:t>
      </w:r>
      <w:r w:rsidR="004D2E82">
        <w:rPr>
          <w:rFonts w:ascii="Arial" w:hAnsi="Arial" w:cs="Arial"/>
          <w:b/>
          <w:bCs/>
          <w:sz w:val="20"/>
          <w:szCs w:val="20"/>
        </w:rPr>
        <w:t>.</w:t>
      </w:r>
      <w:bookmarkStart w:id="1" w:name="_GoBack"/>
      <w:bookmarkEnd w:id="1"/>
      <w:r w:rsidR="00A47763" w:rsidRPr="4F10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47763" w:rsidRPr="4F104897">
        <w:rPr>
          <w:rFonts w:ascii="Arial" w:hAnsi="Arial" w:cs="Arial"/>
          <w:sz w:val="20"/>
          <w:szCs w:val="20"/>
        </w:rPr>
        <w:t>Savills</w:t>
      </w:r>
      <w:proofErr w:type="spellEnd"/>
      <w:r w:rsidR="00A47763" w:rsidRPr="4F104897">
        <w:rPr>
          <w:rFonts w:ascii="Arial" w:hAnsi="Arial" w:cs="Arial"/>
          <w:sz w:val="20"/>
          <w:szCs w:val="20"/>
        </w:rPr>
        <w:t xml:space="preserve"> Investment Management (</w:t>
      </w:r>
      <w:proofErr w:type="spellStart"/>
      <w:r w:rsidR="00A47763" w:rsidRPr="4F104897">
        <w:rPr>
          <w:rFonts w:ascii="Arial" w:hAnsi="Arial" w:cs="Arial"/>
          <w:sz w:val="20"/>
          <w:szCs w:val="20"/>
        </w:rPr>
        <w:t>Savills</w:t>
      </w:r>
      <w:proofErr w:type="spellEnd"/>
      <w:r w:rsidR="00A47763" w:rsidRPr="4F104897">
        <w:rPr>
          <w:rFonts w:ascii="Arial" w:hAnsi="Arial" w:cs="Arial"/>
          <w:sz w:val="20"/>
          <w:szCs w:val="20"/>
        </w:rPr>
        <w:t xml:space="preserve"> IM), międzynarodowy menedżer inwestycyjny, opublikował </w:t>
      </w:r>
      <w:r w:rsidR="00AB598E" w:rsidRPr="4F104897">
        <w:rPr>
          <w:rFonts w:ascii="Arial" w:hAnsi="Arial" w:cs="Arial"/>
          <w:sz w:val="20"/>
          <w:szCs w:val="20"/>
        </w:rPr>
        <w:t xml:space="preserve">rekomendacje poświęcone globalnym </w:t>
      </w:r>
      <w:r w:rsidR="00AB598E" w:rsidRPr="00F21351">
        <w:rPr>
          <w:rFonts w:ascii="Arial" w:hAnsi="Arial" w:cs="Arial"/>
          <w:sz w:val="20"/>
          <w:szCs w:val="20"/>
        </w:rPr>
        <w:t>perspektywom inwestycyjnym na rynkach nieruchomości w 202</w:t>
      </w:r>
      <w:r w:rsidRPr="00F21351">
        <w:rPr>
          <w:rFonts w:ascii="Arial" w:hAnsi="Arial" w:cs="Arial"/>
          <w:sz w:val="20"/>
          <w:szCs w:val="20"/>
        </w:rPr>
        <w:t xml:space="preserve">4 </w:t>
      </w:r>
      <w:r w:rsidR="00AB598E" w:rsidRPr="00F21351">
        <w:rPr>
          <w:rFonts w:ascii="Arial" w:hAnsi="Arial" w:cs="Arial"/>
          <w:sz w:val="20"/>
          <w:szCs w:val="20"/>
        </w:rPr>
        <w:t>roku</w:t>
      </w:r>
      <w:r w:rsidR="00F21351" w:rsidRPr="00F21351">
        <w:rPr>
          <w:rFonts w:ascii="Arial" w:hAnsi="Arial" w:cs="Arial"/>
          <w:sz w:val="20"/>
          <w:szCs w:val="20"/>
        </w:rPr>
        <w:t>, z uwzględnieniem najciekawszych sektorów.</w:t>
      </w:r>
      <w:r w:rsidRPr="00F21351">
        <w:rPr>
          <w:rFonts w:ascii="Arial" w:hAnsi="Arial" w:cs="Arial"/>
          <w:sz w:val="20"/>
          <w:szCs w:val="20"/>
        </w:rPr>
        <w:t xml:space="preserve"> </w:t>
      </w:r>
      <w:r w:rsidRPr="000A689F">
        <w:rPr>
          <w:rFonts w:ascii="Arial" w:hAnsi="Arial" w:cs="Arial"/>
          <w:sz w:val="20"/>
          <w:szCs w:val="20"/>
        </w:rPr>
        <w:t>W raporcie zawarto dziesię</w:t>
      </w:r>
      <w:r w:rsidR="00F21351" w:rsidRPr="000A689F">
        <w:rPr>
          <w:rFonts w:ascii="Arial" w:hAnsi="Arial" w:cs="Arial"/>
          <w:sz w:val="20"/>
          <w:szCs w:val="20"/>
        </w:rPr>
        <w:t>ć</w:t>
      </w:r>
      <w:r w:rsidRPr="000A689F">
        <w:rPr>
          <w:rFonts w:ascii="Arial" w:hAnsi="Arial" w:cs="Arial"/>
          <w:sz w:val="20"/>
          <w:szCs w:val="20"/>
        </w:rPr>
        <w:t xml:space="preserve"> pytań,</w:t>
      </w:r>
      <w:r w:rsidRPr="00F21351">
        <w:rPr>
          <w:rFonts w:ascii="Arial" w:hAnsi="Arial" w:cs="Arial"/>
          <w:sz w:val="20"/>
          <w:szCs w:val="20"/>
        </w:rPr>
        <w:t xml:space="preserve"> na które inwestorzy powinni sobie odpowiedzieć</w:t>
      </w:r>
      <w:r w:rsidRPr="4F104897">
        <w:rPr>
          <w:rFonts w:ascii="Arial" w:hAnsi="Arial" w:cs="Arial"/>
          <w:sz w:val="20"/>
          <w:szCs w:val="20"/>
        </w:rPr>
        <w:t xml:space="preserve"> </w:t>
      </w:r>
      <w:r w:rsidR="0077706D">
        <w:rPr>
          <w:rFonts w:ascii="Arial" w:hAnsi="Arial" w:cs="Arial"/>
          <w:sz w:val="20"/>
          <w:szCs w:val="20"/>
        </w:rPr>
        <w:t>przed decyzją o sposobie lokowania</w:t>
      </w:r>
      <w:r w:rsidRPr="4F104897">
        <w:rPr>
          <w:rFonts w:ascii="Arial" w:hAnsi="Arial" w:cs="Arial"/>
          <w:sz w:val="20"/>
          <w:szCs w:val="20"/>
        </w:rPr>
        <w:t xml:space="preserve"> kapitał</w:t>
      </w:r>
      <w:r w:rsidR="0077706D">
        <w:rPr>
          <w:rFonts w:ascii="Arial" w:hAnsi="Arial" w:cs="Arial"/>
          <w:sz w:val="20"/>
          <w:szCs w:val="20"/>
        </w:rPr>
        <w:t>u</w:t>
      </w:r>
      <w:r w:rsidRPr="4F104897">
        <w:rPr>
          <w:rFonts w:ascii="Arial" w:hAnsi="Arial" w:cs="Arial"/>
          <w:sz w:val="20"/>
          <w:szCs w:val="20"/>
        </w:rPr>
        <w:t xml:space="preserve"> w 2024 roku.</w:t>
      </w:r>
    </w:p>
    <w:p w14:paraId="53823F2E" w14:textId="65DEEE20" w:rsidR="00036B23" w:rsidRPr="000A689F" w:rsidRDefault="00036B23" w:rsidP="150A63AA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150A63AA">
        <w:rPr>
          <w:rFonts w:ascii="Arial" w:hAnsi="Arial" w:cs="Arial"/>
          <w:sz w:val="20"/>
          <w:szCs w:val="20"/>
        </w:rPr>
        <w:t xml:space="preserve">Mimo, że w </w:t>
      </w:r>
      <w:r w:rsidRPr="005B7BDB">
        <w:rPr>
          <w:rFonts w:ascii="Arial" w:hAnsi="Arial" w:cs="Arial"/>
          <w:sz w:val="20"/>
          <w:szCs w:val="20"/>
        </w:rPr>
        <w:t xml:space="preserve">2024 roku wysoka inflacja i </w:t>
      </w:r>
      <w:r w:rsidR="003E535D" w:rsidRPr="005B7BDB">
        <w:rPr>
          <w:rFonts w:ascii="Arial" w:hAnsi="Arial" w:cs="Arial"/>
          <w:sz w:val="20"/>
          <w:szCs w:val="20"/>
        </w:rPr>
        <w:t xml:space="preserve">relatywnie atrakcyjne oprocentowanie </w:t>
      </w:r>
      <w:r w:rsidRPr="005B7BDB">
        <w:rPr>
          <w:rFonts w:ascii="Arial" w:hAnsi="Arial" w:cs="Arial"/>
          <w:sz w:val="20"/>
          <w:szCs w:val="20"/>
        </w:rPr>
        <w:t xml:space="preserve">obligacji </w:t>
      </w:r>
      <w:r w:rsidR="0077706D">
        <w:rPr>
          <w:rFonts w:ascii="Arial" w:hAnsi="Arial" w:cs="Arial"/>
          <w:sz w:val="20"/>
          <w:szCs w:val="20"/>
        </w:rPr>
        <w:t>pozostaną</w:t>
      </w:r>
      <w:r w:rsidR="0077706D" w:rsidRPr="005B7BDB">
        <w:rPr>
          <w:rFonts w:ascii="Arial" w:hAnsi="Arial" w:cs="Arial"/>
          <w:sz w:val="20"/>
          <w:szCs w:val="20"/>
        </w:rPr>
        <w:t xml:space="preserve"> </w:t>
      </w:r>
      <w:r w:rsidR="00E658A4" w:rsidRPr="005B7BDB">
        <w:rPr>
          <w:rFonts w:ascii="Arial" w:hAnsi="Arial" w:cs="Arial"/>
          <w:sz w:val="20"/>
          <w:szCs w:val="20"/>
        </w:rPr>
        <w:t>silną konkurencj</w:t>
      </w:r>
      <w:r w:rsidR="0077706D">
        <w:rPr>
          <w:rFonts w:ascii="Arial" w:hAnsi="Arial" w:cs="Arial"/>
          <w:sz w:val="20"/>
          <w:szCs w:val="20"/>
        </w:rPr>
        <w:t>ą</w:t>
      </w:r>
      <w:r w:rsidR="00E658A4" w:rsidRPr="005B7BDB">
        <w:rPr>
          <w:rFonts w:ascii="Arial" w:hAnsi="Arial" w:cs="Arial"/>
          <w:sz w:val="20"/>
          <w:szCs w:val="20"/>
        </w:rPr>
        <w:t xml:space="preserve"> dla nieruchomości, </w:t>
      </w:r>
      <w:proofErr w:type="spellStart"/>
      <w:r w:rsidR="00E658A4" w:rsidRPr="005B7BDB">
        <w:rPr>
          <w:rFonts w:ascii="Arial" w:hAnsi="Arial" w:cs="Arial"/>
          <w:sz w:val="20"/>
          <w:szCs w:val="20"/>
        </w:rPr>
        <w:t>Savills</w:t>
      </w:r>
      <w:proofErr w:type="spellEnd"/>
      <w:r w:rsidR="00E658A4" w:rsidRPr="005B7BDB">
        <w:rPr>
          <w:rFonts w:ascii="Arial" w:hAnsi="Arial" w:cs="Arial"/>
          <w:sz w:val="20"/>
          <w:szCs w:val="20"/>
        </w:rPr>
        <w:t xml:space="preserve"> IM nadal dostrzega</w:t>
      </w:r>
      <w:r w:rsidR="006D582F" w:rsidRPr="000A689F">
        <w:rPr>
          <w:rFonts w:ascii="Arial" w:hAnsi="Arial" w:cs="Arial"/>
          <w:sz w:val="20"/>
          <w:szCs w:val="20"/>
        </w:rPr>
        <w:t xml:space="preserve"> </w:t>
      </w:r>
      <w:r w:rsidR="00525821" w:rsidRPr="000A689F">
        <w:rPr>
          <w:rFonts w:ascii="Arial" w:hAnsi="Arial" w:cs="Arial"/>
          <w:sz w:val="20"/>
          <w:szCs w:val="20"/>
        </w:rPr>
        <w:t xml:space="preserve">sektory rynku z interesującym potencjałem kreowania </w:t>
      </w:r>
      <w:r w:rsidR="00E658A4" w:rsidRPr="005B7BDB">
        <w:rPr>
          <w:rFonts w:ascii="Arial" w:hAnsi="Arial" w:cs="Arial"/>
          <w:sz w:val="20"/>
          <w:szCs w:val="20"/>
        </w:rPr>
        <w:t>wartości</w:t>
      </w:r>
      <w:r w:rsidR="005B7BDB" w:rsidRPr="000A689F">
        <w:rPr>
          <w:rFonts w:ascii="Arial" w:hAnsi="Arial" w:cs="Arial"/>
          <w:sz w:val="20"/>
          <w:szCs w:val="20"/>
        </w:rPr>
        <w:t>, dzięki</w:t>
      </w:r>
      <w:r w:rsidR="00B557F5" w:rsidRPr="000A689F">
        <w:rPr>
          <w:rFonts w:ascii="Arial" w:hAnsi="Arial" w:cs="Arial"/>
          <w:sz w:val="20"/>
          <w:szCs w:val="20"/>
        </w:rPr>
        <w:t xml:space="preserve"> </w:t>
      </w:r>
      <w:r w:rsidR="0077706D">
        <w:rPr>
          <w:rFonts w:ascii="Arial" w:hAnsi="Arial" w:cs="Arial"/>
          <w:sz w:val="20"/>
          <w:szCs w:val="20"/>
        </w:rPr>
        <w:t xml:space="preserve">urealnionym </w:t>
      </w:r>
      <w:r w:rsidR="00E658A4" w:rsidRPr="005B7BDB">
        <w:rPr>
          <w:rFonts w:ascii="Arial" w:hAnsi="Arial" w:cs="Arial"/>
          <w:sz w:val="20"/>
          <w:szCs w:val="20"/>
        </w:rPr>
        <w:t>stop</w:t>
      </w:r>
      <w:r w:rsidR="005B7BDB" w:rsidRPr="000A689F">
        <w:rPr>
          <w:rFonts w:ascii="Arial" w:hAnsi="Arial" w:cs="Arial"/>
          <w:sz w:val="20"/>
          <w:szCs w:val="20"/>
        </w:rPr>
        <w:t>om</w:t>
      </w:r>
      <w:r w:rsidR="00E658A4" w:rsidRPr="005B7BDB">
        <w:rPr>
          <w:rFonts w:ascii="Arial" w:hAnsi="Arial" w:cs="Arial"/>
          <w:sz w:val="20"/>
          <w:szCs w:val="20"/>
        </w:rPr>
        <w:t xml:space="preserve"> </w:t>
      </w:r>
      <w:r w:rsidR="005B7BDB" w:rsidRPr="000A689F">
        <w:rPr>
          <w:rFonts w:ascii="Arial" w:hAnsi="Arial" w:cs="Arial"/>
          <w:sz w:val="20"/>
          <w:szCs w:val="20"/>
        </w:rPr>
        <w:t xml:space="preserve">kapitalizacji, </w:t>
      </w:r>
      <w:r w:rsidR="00E658A4" w:rsidRPr="005B7BDB">
        <w:rPr>
          <w:rFonts w:ascii="Arial" w:hAnsi="Arial" w:cs="Arial"/>
          <w:sz w:val="20"/>
          <w:szCs w:val="20"/>
        </w:rPr>
        <w:t>ochron</w:t>
      </w:r>
      <w:r w:rsidR="005B7BDB" w:rsidRPr="000A689F">
        <w:rPr>
          <w:rFonts w:ascii="Arial" w:hAnsi="Arial" w:cs="Arial"/>
          <w:sz w:val="20"/>
          <w:szCs w:val="20"/>
        </w:rPr>
        <w:t>ie</w:t>
      </w:r>
      <w:r w:rsidR="00E658A4" w:rsidRPr="005B7BDB">
        <w:rPr>
          <w:rFonts w:ascii="Arial" w:hAnsi="Arial" w:cs="Arial"/>
          <w:sz w:val="20"/>
          <w:szCs w:val="20"/>
        </w:rPr>
        <w:t xml:space="preserve"> kapitału lub jego </w:t>
      </w:r>
      <w:r w:rsidR="0077706D" w:rsidRPr="005B7BDB">
        <w:rPr>
          <w:rFonts w:ascii="Arial" w:hAnsi="Arial" w:cs="Arial"/>
          <w:sz w:val="20"/>
          <w:szCs w:val="20"/>
        </w:rPr>
        <w:t>wzrost</w:t>
      </w:r>
      <w:r w:rsidR="0077706D">
        <w:rPr>
          <w:rFonts w:ascii="Arial" w:hAnsi="Arial" w:cs="Arial"/>
          <w:sz w:val="20"/>
          <w:szCs w:val="20"/>
        </w:rPr>
        <w:t>owi</w:t>
      </w:r>
      <w:r w:rsidR="00E658A4" w:rsidRPr="005B7BDB">
        <w:rPr>
          <w:rFonts w:ascii="Arial" w:hAnsi="Arial" w:cs="Arial"/>
          <w:sz w:val="20"/>
          <w:szCs w:val="20"/>
        </w:rPr>
        <w:t>.</w:t>
      </w:r>
      <w:r w:rsidR="00E658A4" w:rsidRPr="150A63AA">
        <w:rPr>
          <w:rFonts w:ascii="Arial" w:hAnsi="Arial" w:cs="Arial"/>
          <w:sz w:val="20"/>
          <w:szCs w:val="20"/>
        </w:rPr>
        <w:t xml:space="preserve"> </w:t>
      </w:r>
    </w:p>
    <w:p w14:paraId="2EC064ED" w14:textId="0E89F8E3" w:rsidR="00E658A4" w:rsidRDefault="00E658A4" w:rsidP="4F104897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4F104897">
        <w:rPr>
          <w:rFonts w:ascii="Arial" w:hAnsi="Arial" w:cs="Arial"/>
          <w:sz w:val="20"/>
          <w:szCs w:val="20"/>
        </w:rPr>
        <w:t>Savills</w:t>
      </w:r>
      <w:proofErr w:type="spellEnd"/>
      <w:r w:rsidRPr="4F104897">
        <w:rPr>
          <w:rFonts w:ascii="Arial" w:hAnsi="Arial" w:cs="Arial"/>
          <w:sz w:val="20"/>
          <w:szCs w:val="20"/>
        </w:rPr>
        <w:t xml:space="preserve"> IM jednocześnie </w:t>
      </w:r>
      <w:r w:rsidR="0077706D">
        <w:rPr>
          <w:rFonts w:ascii="Arial" w:hAnsi="Arial" w:cs="Arial"/>
          <w:sz w:val="20"/>
          <w:szCs w:val="20"/>
        </w:rPr>
        <w:t>podkreśla</w:t>
      </w:r>
      <w:r w:rsidRPr="4F104897">
        <w:rPr>
          <w:rFonts w:ascii="Arial" w:hAnsi="Arial" w:cs="Arial"/>
          <w:sz w:val="20"/>
          <w:szCs w:val="20"/>
        </w:rPr>
        <w:t xml:space="preserve">, że </w:t>
      </w:r>
      <w:r w:rsidR="0077706D">
        <w:rPr>
          <w:rFonts w:ascii="Arial" w:hAnsi="Arial" w:cs="Arial"/>
          <w:sz w:val="20"/>
          <w:szCs w:val="20"/>
        </w:rPr>
        <w:t xml:space="preserve">w najbliższym czasie </w:t>
      </w:r>
      <w:r w:rsidR="002B1CEA">
        <w:rPr>
          <w:rFonts w:ascii="Arial" w:hAnsi="Arial" w:cs="Arial"/>
          <w:sz w:val="20"/>
          <w:szCs w:val="20"/>
        </w:rPr>
        <w:t xml:space="preserve">należy </w:t>
      </w:r>
      <w:r w:rsidR="0077706D">
        <w:rPr>
          <w:rFonts w:ascii="Arial" w:hAnsi="Arial" w:cs="Arial"/>
          <w:sz w:val="20"/>
          <w:szCs w:val="20"/>
        </w:rPr>
        <w:t>spodziewać się w</w:t>
      </w:r>
      <w:r w:rsidRPr="4F104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20F">
        <w:rPr>
          <w:rFonts w:ascii="Arial" w:hAnsi="Arial" w:cs="Arial"/>
          <w:sz w:val="20"/>
          <w:szCs w:val="20"/>
        </w:rPr>
        <w:t>ryzy</w:t>
      </w:r>
      <w:r w:rsidR="0077706D">
        <w:rPr>
          <w:rFonts w:ascii="Arial" w:hAnsi="Arial" w:cs="Arial"/>
          <w:sz w:val="20"/>
          <w:szCs w:val="20"/>
        </w:rPr>
        <w:t>k</w:t>
      </w:r>
      <w:proofErr w:type="spellEnd"/>
      <w:r w:rsidR="002B1CEA">
        <w:rPr>
          <w:rFonts w:ascii="Arial" w:hAnsi="Arial" w:cs="Arial"/>
          <w:sz w:val="20"/>
          <w:szCs w:val="20"/>
        </w:rPr>
        <w:t xml:space="preserve"> </w:t>
      </w:r>
      <w:r w:rsidRPr="4F104897">
        <w:rPr>
          <w:rFonts w:ascii="Arial" w:hAnsi="Arial" w:cs="Arial"/>
          <w:sz w:val="20"/>
          <w:szCs w:val="20"/>
        </w:rPr>
        <w:t>makroekonomiczn</w:t>
      </w:r>
      <w:r w:rsidR="0077706D">
        <w:rPr>
          <w:rFonts w:ascii="Arial" w:hAnsi="Arial" w:cs="Arial"/>
          <w:sz w:val="20"/>
          <w:szCs w:val="20"/>
        </w:rPr>
        <w:t>ych</w:t>
      </w:r>
      <w:r w:rsidRPr="4F104897">
        <w:rPr>
          <w:rFonts w:ascii="Arial" w:hAnsi="Arial" w:cs="Arial"/>
          <w:sz w:val="20"/>
          <w:szCs w:val="20"/>
        </w:rPr>
        <w:t>, z których najpoważniejs</w:t>
      </w:r>
      <w:r w:rsidR="0000720F">
        <w:rPr>
          <w:rFonts w:ascii="Arial" w:hAnsi="Arial" w:cs="Arial"/>
          <w:sz w:val="20"/>
          <w:szCs w:val="20"/>
        </w:rPr>
        <w:t xml:space="preserve">zym </w:t>
      </w:r>
      <w:r w:rsidRPr="4F104897">
        <w:rPr>
          <w:rFonts w:ascii="Arial" w:hAnsi="Arial" w:cs="Arial"/>
          <w:sz w:val="20"/>
          <w:szCs w:val="20"/>
        </w:rPr>
        <w:t xml:space="preserve">będzie ostrożne podejście banków centralnych do inflacji. Choć stopy procentowe mogą już nie rosnąć, istnieje prawdopodobieństwo, że zatrzymają się na </w:t>
      </w:r>
      <w:r w:rsidR="009778E1" w:rsidRPr="4F104897">
        <w:rPr>
          <w:rFonts w:ascii="Arial" w:hAnsi="Arial" w:cs="Arial"/>
          <w:sz w:val="20"/>
          <w:szCs w:val="20"/>
        </w:rPr>
        <w:t>obecnym</w:t>
      </w:r>
      <w:r w:rsidRPr="4F104897">
        <w:rPr>
          <w:rFonts w:ascii="Arial" w:hAnsi="Arial" w:cs="Arial"/>
          <w:sz w:val="20"/>
          <w:szCs w:val="20"/>
        </w:rPr>
        <w:t xml:space="preserve"> poziomie przez dłuższy czas, a na obniżki będzie trzeba poczekać do końca 2024</w:t>
      </w:r>
      <w:r w:rsidR="009778E1" w:rsidRPr="4F104897">
        <w:rPr>
          <w:rFonts w:ascii="Arial" w:hAnsi="Arial" w:cs="Arial"/>
          <w:sz w:val="20"/>
          <w:szCs w:val="20"/>
        </w:rPr>
        <w:t xml:space="preserve"> roku</w:t>
      </w:r>
      <w:r w:rsidRPr="4F104897">
        <w:rPr>
          <w:rFonts w:ascii="Arial" w:hAnsi="Arial" w:cs="Arial"/>
          <w:sz w:val="20"/>
          <w:szCs w:val="20"/>
        </w:rPr>
        <w:t xml:space="preserve">. </w:t>
      </w:r>
      <w:r>
        <w:br/>
      </w:r>
      <w:r w:rsidRPr="4F104897">
        <w:rPr>
          <w:rFonts w:ascii="Arial" w:hAnsi="Arial" w:cs="Arial"/>
          <w:sz w:val="20"/>
          <w:szCs w:val="20"/>
        </w:rPr>
        <w:t xml:space="preserve">Z tego względu, zdaniem </w:t>
      </w:r>
      <w:proofErr w:type="spellStart"/>
      <w:r w:rsidRPr="4F104897">
        <w:rPr>
          <w:rFonts w:ascii="Arial" w:hAnsi="Arial" w:cs="Arial"/>
          <w:sz w:val="20"/>
          <w:szCs w:val="20"/>
        </w:rPr>
        <w:t>Savills</w:t>
      </w:r>
      <w:proofErr w:type="spellEnd"/>
      <w:r w:rsidRPr="4F104897">
        <w:rPr>
          <w:rFonts w:ascii="Arial" w:hAnsi="Arial" w:cs="Arial"/>
          <w:sz w:val="20"/>
          <w:szCs w:val="20"/>
        </w:rPr>
        <w:t xml:space="preserve"> IM, analiza</w:t>
      </w:r>
      <w:r w:rsidR="00F540CC">
        <w:rPr>
          <w:rFonts w:ascii="Arial" w:hAnsi="Arial" w:cs="Arial"/>
          <w:sz w:val="20"/>
          <w:szCs w:val="20"/>
        </w:rPr>
        <w:t xml:space="preserve"> atrakcyjności</w:t>
      </w:r>
      <w:r w:rsidRPr="4F104897">
        <w:rPr>
          <w:rFonts w:ascii="Arial" w:hAnsi="Arial" w:cs="Arial"/>
          <w:sz w:val="20"/>
          <w:szCs w:val="20"/>
        </w:rPr>
        <w:t xml:space="preserve"> czynników fundamentalnych</w:t>
      </w:r>
      <w:r w:rsidR="00F540CC">
        <w:rPr>
          <w:rFonts w:ascii="Arial" w:hAnsi="Arial" w:cs="Arial"/>
          <w:sz w:val="20"/>
          <w:szCs w:val="20"/>
        </w:rPr>
        <w:t xml:space="preserve"> nieruchomości wysuwa się na pierwszy plan</w:t>
      </w:r>
      <w:r w:rsidRPr="4F104897">
        <w:rPr>
          <w:rFonts w:ascii="Arial" w:hAnsi="Arial" w:cs="Arial"/>
          <w:sz w:val="20"/>
          <w:szCs w:val="20"/>
        </w:rPr>
        <w:t>.</w:t>
      </w:r>
    </w:p>
    <w:p w14:paraId="29D74EF6" w14:textId="3CAF54E9" w:rsidR="00E658A4" w:rsidRDefault="00BF0372" w:rsidP="0087311B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BF0372">
        <w:rPr>
          <w:rFonts w:ascii="Arial" w:hAnsi="Arial" w:cs="Arial"/>
          <w:sz w:val="20"/>
          <w:szCs w:val="20"/>
        </w:rPr>
        <w:t xml:space="preserve">Według </w:t>
      </w:r>
      <w:proofErr w:type="spellStart"/>
      <w:r w:rsidRPr="00BF0372">
        <w:rPr>
          <w:rFonts w:ascii="Arial" w:hAnsi="Arial" w:cs="Arial"/>
          <w:sz w:val="20"/>
          <w:szCs w:val="20"/>
        </w:rPr>
        <w:t>Savills</w:t>
      </w:r>
      <w:proofErr w:type="spellEnd"/>
      <w:r w:rsidRPr="00BF0372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>,</w:t>
      </w:r>
      <w:r w:rsidRPr="00BF0372">
        <w:rPr>
          <w:rFonts w:ascii="Arial" w:hAnsi="Arial" w:cs="Arial"/>
          <w:sz w:val="20"/>
          <w:szCs w:val="20"/>
        </w:rPr>
        <w:t xml:space="preserve"> </w:t>
      </w:r>
      <w:r w:rsidR="00F54968">
        <w:rPr>
          <w:rFonts w:ascii="Arial" w:hAnsi="Arial" w:cs="Arial"/>
          <w:sz w:val="20"/>
          <w:szCs w:val="20"/>
        </w:rPr>
        <w:t>działania</w:t>
      </w:r>
      <w:r w:rsidR="00F54968" w:rsidRPr="00BF0372">
        <w:rPr>
          <w:rFonts w:ascii="Arial" w:hAnsi="Arial" w:cs="Arial"/>
          <w:sz w:val="20"/>
          <w:szCs w:val="20"/>
        </w:rPr>
        <w:t xml:space="preserve"> </w:t>
      </w:r>
      <w:r w:rsidRPr="00BF0372">
        <w:rPr>
          <w:rFonts w:ascii="Arial" w:hAnsi="Arial" w:cs="Arial"/>
          <w:sz w:val="20"/>
          <w:szCs w:val="20"/>
        </w:rPr>
        <w:t xml:space="preserve">zmierzające do osiągnięcia zerowej emisji oraz zrównoważonego rozwoju </w:t>
      </w:r>
      <w:r>
        <w:rPr>
          <w:rFonts w:ascii="Arial" w:hAnsi="Arial" w:cs="Arial"/>
          <w:sz w:val="20"/>
          <w:szCs w:val="20"/>
        </w:rPr>
        <w:t>będą znajdowały się w</w:t>
      </w:r>
      <w:r w:rsidRPr="00BF0372">
        <w:rPr>
          <w:rFonts w:ascii="Arial" w:hAnsi="Arial" w:cs="Arial"/>
          <w:sz w:val="20"/>
          <w:szCs w:val="20"/>
        </w:rPr>
        <w:t xml:space="preserve"> centrum uwagi inwestorów</w:t>
      </w:r>
      <w:r w:rsidR="005800BB">
        <w:rPr>
          <w:rFonts w:ascii="Arial" w:hAnsi="Arial" w:cs="Arial"/>
          <w:sz w:val="20"/>
          <w:szCs w:val="20"/>
        </w:rPr>
        <w:t>.</w:t>
      </w:r>
      <w:r w:rsidRPr="00BF0372">
        <w:rPr>
          <w:rFonts w:ascii="Arial" w:hAnsi="Arial" w:cs="Arial"/>
          <w:sz w:val="20"/>
          <w:szCs w:val="20"/>
        </w:rPr>
        <w:t xml:space="preserve"> </w:t>
      </w:r>
      <w:r w:rsidR="000A689F">
        <w:rPr>
          <w:rFonts w:ascii="Arial" w:hAnsi="Arial" w:cs="Arial"/>
          <w:sz w:val="20"/>
          <w:szCs w:val="20"/>
        </w:rPr>
        <w:t>Wśród innych priorytetów znajdą się</w:t>
      </w:r>
      <w:r w:rsidR="00EA7624">
        <w:rPr>
          <w:rFonts w:ascii="Arial" w:hAnsi="Arial" w:cs="Arial"/>
          <w:sz w:val="20"/>
          <w:szCs w:val="20"/>
        </w:rPr>
        <w:t xml:space="preserve"> o</w:t>
      </w:r>
      <w:r w:rsidRPr="00BF0372">
        <w:rPr>
          <w:rFonts w:ascii="Arial" w:hAnsi="Arial" w:cs="Arial"/>
          <w:sz w:val="20"/>
          <w:szCs w:val="20"/>
        </w:rPr>
        <w:t>graniczan</w:t>
      </w:r>
      <w:r w:rsidR="005800BB">
        <w:rPr>
          <w:rFonts w:ascii="Arial" w:hAnsi="Arial" w:cs="Arial"/>
          <w:sz w:val="20"/>
          <w:szCs w:val="20"/>
        </w:rPr>
        <w:t>ie</w:t>
      </w:r>
      <w:r w:rsidRPr="00BF0372">
        <w:rPr>
          <w:rFonts w:ascii="Arial" w:hAnsi="Arial" w:cs="Arial"/>
          <w:sz w:val="20"/>
          <w:szCs w:val="20"/>
        </w:rPr>
        <w:t xml:space="preserve"> kosztów eksploatacyjnych budynków oraz </w:t>
      </w:r>
      <w:r w:rsidR="006962DE">
        <w:rPr>
          <w:rFonts w:ascii="Arial" w:hAnsi="Arial" w:cs="Arial"/>
          <w:sz w:val="20"/>
          <w:szCs w:val="20"/>
        </w:rPr>
        <w:t xml:space="preserve">zapobieganie </w:t>
      </w:r>
      <w:r w:rsidR="00451D09">
        <w:rPr>
          <w:rFonts w:ascii="Arial" w:hAnsi="Arial" w:cs="Arial"/>
          <w:sz w:val="20"/>
          <w:szCs w:val="20"/>
        </w:rPr>
        <w:t xml:space="preserve">ryzyku </w:t>
      </w:r>
      <w:r w:rsidR="000A689F">
        <w:rPr>
          <w:rFonts w:ascii="Arial" w:hAnsi="Arial" w:cs="Arial"/>
          <w:sz w:val="20"/>
          <w:szCs w:val="20"/>
        </w:rPr>
        <w:t xml:space="preserve">ich </w:t>
      </w:r>
      <w:r w:rsidR="0077706D">
        <w:rPr>
          <w:rFonts w:ascii="Arial" w:hAnsi="Arial" w:cs="Arial"/>
          <w:sz w:val="20"/>
          <w:szCs w:val="20"/>
        </w:rPr>
        <w:t>nieadekwatności</w:t>
      </w:r>
      <w:r w:rsidR="009601E9">
        <w:rPr>
          <w:rFonts w:ascii="Arial" w:hAnsi="Arial" w:cs="Arial"/>
          <w:sz w:val="20"/>
          <w:szCs w:val="20"/>
        </w:rPr>
        <w:t>,</w:t>
      </w:r>
      <w:r w:rsidR="00B2783F">
        <w:rPr>
          <w:rFonts w:ascii="Arial" w:hAnsi="Arial" w:cs="Arial"/>
          <w:sz w:val="20"/>
          <w:szCs w:val="20"/>
        </w:rPr>
        <w:t xml:space="preserve"> </w:t>
      </w:r>
      <w:r w:rsidR="00451D09">
        <w:rPr>
          <w:rFonts w:ascii="Arial" w:hAnsi="Arial" w:cs="Arial"/>
          <w:sz w:val="20"/>
          <w:szCs w:val="20"/>
        </w:rPr>
        <w:t xml:space="preserve">wynikającemu z </w:t>
      </w:r>
      <w:r w:rsidR="00924723">
        <w:rPr>
          <w:rFonts w:ascii="Arial" w:hAnsi="Arial" w:cs="Arial"/>
          <w:sz w:val="20"/>
          <w:szCs w:val="20"/>
        </w:rPr>
        <w:t>niezgodności</w:t>
      </w:r>
      <w:r w:rsidR="00256BEA">
        <w:rPr>
          <w:rFonts w:ascii="Arial" w:hAnsi="Arial" w:cs="Arial"/>
          <w:sz w:val="20"/>
          <w:szCs w:val="20"/>
        </w:rPr>
        <w:t xml:space="preserve"> ścieżki dekarbonizacji</w:t>
      </w:r>
      <w:r w:rsidR="00924723">
        <w:rPr>
          <w:rFonts w:ascii="Arial" w:hAnsi="Arial" w:cs="Arial"/>
          <w:sz w:val="20"/>
          <w:szCs w:val="20"/>
        </w:rPr>
        <w:t xml:space="preserve"> </w:t>
      </w:r>
      <w:r w:rsidR="00256BEA">
        <w:rPr>
          <w:rFonts w:ascii="Arial" w:hAnsi="Arial" w:cs="Arial"/>
          <w:sz w:val="20"/>
          <w:szCs w:val="20"/>
        </w:rPr>
        <w:t xml:space="preserve">nieruchomości </w:t>
      </w:r>
      <w:r w:rsidR="006962DE">
        <w:rPr>
          <w:rFonts w:ascii="Arial" w:hAnsi="Arial" w:cs="Arial"/>
          <w:sz w:val="20"/>
          <w:szCs w:val="20"/>
        </w:rPr>
        <w:t>z celami klimatycznymi.</w:t>
      </w:r>
    </w:p>
    <w:p w14:paraId="2B559FAC" w14:textId="15B53C42" w:rsidR="00C20B0F" w:rsidRDefault="00F76AB6" w:rsidP="00F76AB6">
      <w:pPr>
        <w:spacing w:before="100" w:beforeAutospacing="1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6AB6">
        <w:rPr>
          <w:rFonts w:ascii="Arial" w:hAnsi="Arial" w:cs="Arial"/>
          <w:b/>
          <w:bCs/>
          <w:sz w:val="20"/>
          <w:szCs w:val="20"/>
          <w:lang w:val="pl"/>
        </w:rPr>
        <w:t xml:space="preserve">Czy </w:t>
      </w:r>
      <w:r>
        <w:rPr>
          <w:rFonts w:ascii="Arial" w:hAnsi="Arial" w:cs="Arial"/>
          <w:b/>
          <w:bCs/>
          <w:sz w:val="20"/>
          <w:szCs w:val="20"/>
          <w:lang w:val="pl"/>
        </w:rPr>
        <w:t xml:space="preserve">jest to odpowiedni moment na inwestycję </w:t>
      </w:r>
      <w:r w:rsidRPr="00F76AB6">
        <w:rPr>
          <w:rFonts w:ascii="Arial" w:hAnsi="Arial" w:cs="Arial"/>
          <w:b/>
          <w:bCs/>
          <w:sz w:val="20"/>
          <w:szCs w:val="20"/>
          <w:lang w:val="pl"/>
        </w:rPr>
        <w:t xml:space="preserve">w </w:t>
      </w:r>
      <w:r w:rsidR="00EB075F">
        <w:rPr>
          <w:rFonts w:ascii="Arial" w:hAnsi="Arial" w:cs="Arial"/>
          <w:b/>
          <w:bCs/>
          <w:sz w:val="20"/>
          <w:szCs w:val="20"/>
          <w:lang w:val="pl"/>
        </w:rPr>
        <w:t>strategie dłużne</w:t>
      </w:r>
      <w:r w:rsidRPr="00F76AB6">
        <w:rPr>
          <w:rFonts w:ascii="Arial" w:hAnsi="Arial" w:cs="Arial"/>
          <w:b/>
          <w:bCs/>
          <w:sz w:val="20"/>
          <w:szCs w:val="20"/>
          <w:lang w:val="pl"/>
        </w:rPr>
        <w:t>?</w:t>
      </w:r>
    </w:p>
    <w:p w14:paraId="7E0E8487" w14:textId="4425A212" w:rsidR="00F76AB6" w:rsidRPr="00C20B0F" w:rsidRDefault="00F76AB6" w:rsidP="00F76AB6">
      <w:pPr>
        <w:spacing w:before="100" w:beforeAutospacing="1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76AB6">
        <w:rPr>
          <w:rFonts w:ascii="Arial" w:hAnsi="Arial" w:cs="Arial"/>
          <w:sz w:val="20"/>
          <w:szCs w:val="20"/>
          <w:lang w:val="pl"/>
        </w:rPr>
        <w:t>Savills</w:t>
      </w:r>
      <w:proofErr w:type="spellEnd"/>
      <w:r w:rsidRPr="00F76AB6">
        <w:rPr>
          <w:rFonts w:ascii="Arial" w:hAnsi="Arial" w:cs="Arial"/>
          <w:sz w:val="20"/>
          <w:szCs w:val="20"/>
          <w:lang w:val="pl"/>
        </w:rPr>
        <w:t xml:space="preserve"> IM wskazuje, że inwestorzy na rynku nieruchomości powinni właśnie teraz rozważyć </w:t>
      </w:r>
      <w:r w:rsidR="0077706D">
        <w:rPr>
          <w:rFonts w:ascii="Arial" w:hAnsi="Arial" w:cs="Arial"/>
          <w:sz w:val="20"/>
          <w:szCs w:val="20"/>
          <w:lang w:val="pl"/>
        </w:rPr>
        <w:t>zaangażowanie w alternatywne strategie</w:t>
      </w:r>
      <w:r w:rsidR="0077706D" w:rsidRPr="00F76AB6">
        <w:rPr>
          <w:rFonts w:ascii="Arial" w:hAnsi="Arial" w:cs="Arial"/>
          <w:sz w:val="20"/>
          <w:szCs w:val="20"/>
          <w:lang w:val="pl"/>
        </w:rPr>
        <w:t xml:space="preserve"> </w:t>
      </w:r>
      <w:r w:rsidR="00EB075F">
        <w:rPr>
          <w:rFonts w:ascii="Arial" w:hAnsi="Arial" w:cs="Arial"/>
          <w:sz w:val="20"/>
          <w:szCs w:val="20"/>
          <w:lang w:val="pl"/>
        </w:rPr>
        <w:t>dłużne</w:t>
      </w:r>
      <w:r w:rsidRPr="00F76AB6">
        <w:rPr>
          <w:rFonts w:ascii="Arial" w:hAnsi="Arial" w:cs="Arial"/>
          <w:sz w:val="20"/>
          <w:szCs w:val="20"/>
          <w:lang w:val="pl"/>
        </w:rPr>
        <w:t xml:space="preserve">. Połączenie malejącej dostępności finansowania </w:t>
      </w:r>
      <w:r w:rsidR="0077706D">
        <w:rPr>
          <w:rFonts w:ascii="Arial" w:hAnsi="Arial" w:cs="Arial"/>
          <w:sz w:val="20"/>
          <w:szCs w:val="20"/>
          <w:lang w:val="pl"/>
        </w:rPr>
        <w:t>bankowego</w:t>
      </w:r>
      <w:r w:rsidRPr="00F76AB6">
        <w:rPr>
          <w:rFonts w:ascii="Arial" w:hAnsi="Arial" w:cs="Arial"/>
          <w:sz w:val="20"/>
          <w:szCs w:val="20"/>
          <w:lang w:val="pl"/>
        </w:rPr>
        <w:t xml:space="preserve">, zmian stawek czynszów oraz rosnących stóp procentowych stworzyło warunki, w których podmioty posiadające środki na </w:t>
      </w:r>
      <w:r w:rsidR="00F22B8C">
        <w:rPr>
          <w:rFonts w:ascii="Arial" w:hAnsi="Arial" w:cs="Arial"/>
          <w:sz w:val="20"/>
          <w:szCs w:val="20"/>
          <w:lang w:val="pl"/>
        </w:rPr>
        <w:t>finansowanie</w:t>
      </w:r>
      <w:r w:rsidR="00F22B8C" w:rsidRPr="00F76AB6">
        <w:rPr>
          <w:rFonts w:ascii="Arial" w:hAnsi="Arial" w:cs="Arial"/>
          <w:sz w:val="20"/>
          <w:szCs w:val="20"/>
          <w:lang w:val="pl"/>
        </w:rPr>
        <w:t xml:space="preserve"> </w:t>
      </w:r>
      <w:r w:rsidRPr="00F76AB6">
        <w:rPr>
          <w:rFonts w:ascii="Arial" w:hAnsi="Arial" w:cs="Arial"/>
          <w:sz w:val="20"/>
          <w:szCs w:val="20"/>
          <w:lang w:val="pl"/>
        </w:rPr>
        <w:t xml:space="preserve">mogą osiągać wysokie zwroty. Ochrona przed spadkami w postaci </w:t>
      </w:r>
      <w:r w:rsidR="00C20B0F">
        <w:rPr>
          <w:rFonts w:ascii="Arial" w:hAnsi="Arial" w:cs="Arial"/>
          <w:sz w:val="20"/>
          <w:szCs w:val="20"/>
          <w:lang w:val="pl"/>
        </w:rPr>
        <w:t>poduszek kapitałowych</w:t>
      </w:r>
      <w:r w:rsidRPr="00F76AB6">
        <w:rPr>
          <w:rFonts w:ascii="Arial" w:hAnsi="Arial" w:cs="Arial"/>
          <w:sz w:val="20"/>
          <w:szCs w:val="20"/>
          <w:lang w:val="pl"/>
        </w:rPr>
        <w:t xml:space="preserve"> stanowi o wysokiej atrakcyjności rynku finansowania zabezpieczonego </w:t>
      </w:r>
      <w:r w:rsidR="0077706D">
        <w:rPr>
          <w:rFonts w:ascii="Arial" w:hAnsi="Arial" w:cs="Arial"/>
          <w:sz w:val="20"/>
          <w:szCs w:val="20"/>
          <w:lang w:val="pl"/>
        </w:rPr>
        <w:t xml:space="preserve">odpowiedniej jakości </w:t>
      </w:r>
      <w:r w:rsidRPr="00F76AB6">
        <w:rPr>
          <w:rFonts w:ascii="Arial" w:hAnsi="Arial" w:cs="Arial"/>
          <w:sz w:val="20"/>
          <w:szCs w:val="20"/>
          <w:lang w:val="pl"/>
        </w:rPr>
        <w:t xml:space="preserve">nieruchomościami dla inwestorów poszukujących stabilnego </w:t>
      </w:r>
      <w:r w:rsidR="009601E9">
        <w:rPr>
          <w:rFonts w:ascii="Arial" w:hAnsi="Arial" w:cs="Arial"/>
          <w:sz w:val="20"/>
          <w:szCs w:val="20"/>
          <w:lang w:val="pl"/>
        </w:rPr>
        <w:br/>
      </w:r>
      <w:r w:rsidRPr="00F76AB6">
        <w:rPr>
          <w:rFonts w:ascii="Arial" w:hAnsi="Arial" w:cs="Arial"/>
          <w:sz w:val="20"/>
          <w:szCs w:val="20"/>
          <w:lang w:val="pl"/>
        </w:rPr>
        <w:t xml:space="preserve">i bezpiecznego dochodu w warunkach wysokiej niepewności </w:t>
      </w:r>
      <w:r w:rsidR="00C20B0F">
        <w:rPr>
          <w:rFonts w:ascii="Arial" w:hAnsi="Arial" w:cs="Arial"/>
          <w:sz w:val="20"/>
          <w:szCs w:val="20"/>
          <w:lang w:val="pl"/>
        </w:rPr>
        <w:t xml:space="preserve">na </w:t>
      </w:r>
      <w:r w:rsidRPr="00F76AB6">
        <w:rPr>
          <w:rFonts w:ascii="Arial" w:hAnsi="Arial" w:cs="Arial"/>
          <w:sz w:val="20"/>
          <w:szCs w:val="20"/>
          <w:lang w:val="pl"/>
        </w:rPr>
        <w:t xml:space="preserve">rynku.  </w:t>
      </w:r>
    </w:p>
    <w:p w14:paraId="5C453FA4" w14:textId="3B756686" w:rsidR="004D3FDB" w:rsidRPr="004D3FDB" w:rsidRDefault="001148EA" w:rsidP="004D3FDB">
      <w:pPr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Rynek</w:t>
      </w:r>
      <w:r w:rsidR="004D3FDB" w:rsidRPr="004D3FDB">
        <w:rPr>
          <w:rFonts w:ascii="Arial" w:hAnsi="Arial" w:cs="Arial"/>
          <w:b/>
          <w:sz w:val="20"/>
          <w:szCs w:val="20"/>
        </w:rPr>
        <w:t xml:space="preserve"> mieszkań</w:t>
      </w:r>
      <w:r>
        <w:rPr>
          <w:rFonts w:ascii="Arial" w:hAnsi="Arial" w:cs="Arial"/>
          <w:b/>
          <w:sz w:val="20"/>
          <w:szCs w:val="20"/>
        </w:rPr>
        <w:t xml:space="preserve"> na wynajem</w:t>
      </w:r>
      <w:r w:rsidR="004D3FDB" w:rsidRPr="004D3FDB">
        <w:rPr>
          <w:rFonts w:ascii="Arial" w:hAnsi="Arial" w:cs="Arial"/>
          <w:b/>
          <w:sz w:val="20"/>
          <w:szCs w:val="20"/>
        </w:rPr>
        <w:t xml:space="preserve"> dla inwestorów instytucjonalnych </w:t>
      </w:r>
    </w:p>
    <w:p w14:paraId="26034159" w14:textId="43E490C2" w:rsidR="00F76AB6" w:rsidRDefault="008C1B64" w:rsidP="004D3FDB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ynqvb"/>
          <w:rFonts w:ascii="Arial" w:hAnsi="Arial" w:cs="Arial"/>
          <w:sz w:val="20"/>
          <w:szCs w:val="20"/>
        </w:rPr>
        <w:t>Wzrost cen mieszkań</w:t>
      </w:r>
      <w:r w:rsidR="002052A5" w:rsidRPr="00A14E02">
        <w:rPr>
          <w:rStyle w:val="rynqvb"/>
          <w:rFonts w:ascii="Arial" w:hAnsi="Arial" w:cs="Arial"/>
          <w:sz w:val="20"/>
          <w:szCs w:val="20"/>
        </w:rPr>
        <w:t xml:space="preserve"> w dalszym ciągu wynika z zasadniczej dysproporcji między podażą a popytem na wszystkich rynkach europejskich</w:t>
      </w:r>
      <w:r w:rsidR="002052A5" w:rsidRPr="00A14E02">
        <w:rPr>
          <w:rStyle w:val="rynqvb"/>
        </w:rPr>
        <w:t>.</w:t>
      </w:r>
      <w:r w:rsidR="00A14E02" w:rsidRPr="00A14E02">
        <w:rPr>
          <w:rFonts w:ascii="Arial" w:hAnsi="Arial" w:cs="Arial"/>
          <w:sz w:val="20"/>
          <w:szCs w:val="20"/>
        </w:rPr>
        <w:t xml:space="preserve"> </w:t>
      </w:r>
      <w:r w:rsidRPr="00A14E02">
        <w:rPr>
          <w:rFonts w:ascii="Arial" w:hAnsi="Arial" w:cs="Arial"/>
          <w:sz w:val="20"/>
          <w:szCs w:val="20"/>
        </w:rPr>
        <w:t>W związku</w:t>
      </w:r>
      <w:r>
        <w:rPr>
          <w:rFonts w:ascii="Arial" w:hAnsi="Arial" w:cs="Arial"/>
          <w:sz w:val="20"/>
          <w:szCs w:val="20"/>
        </w:rPr>
        <w:t xml:space="preserve"> z tym</w:t>
      </w:r>
      <w:r w:rsidR="009601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755DB">
        <w:rPr>
          <w:rFonts w:ascii="Arial" w:hAnsi="Arial" w:cs="Arial"/>
          <w:sz w:val="20"/>
          <w:szCs w:val="20"/>
        </w:rPr>
        <w:t xml:space="preserve">dostępność </w:t>
      </w:r>
      <w:r w:rsidR="004D3FDB">
        <w:rPr>
          <w:rFonts w:ascii="Arial" w:hAnsi="Arial" w:cs="Arial"/>
          <w:sz w:val="20"/>
          <w:szCs w:val="20"/>
        </w:rPr>
        <w:t>czynszów jest</w:t>
      </w:r>
      <w:r w:rsidR="004D3FDB" w:rsidRPr="004D3FDB">
        <w:rPr>
          <w:rFonts w:ascii="Arial" w:hAnsi="Arial" w:cs="Arial"/>
          <w:sz w:val="20"/>
          <w:szCs w:val="20"/>
        </w:rPr>
        <w:t xml:space="preserve"> ważną kwesti</w:t>
      </w:r>
      <w:r w:rsidR="004D3FDB">
        <w:rPr>
          <w:rFonts w:ascii="Arial" w:hAnsi="Arial" w:cs="Arial"/>
          <w:sz w:val="20"/>
          <w:szCs w:val="20"/>
        </w:rPr>
        <w:t>ą</w:t>
      </w:r>
      <w:r w:rsidR="004D3FDB" w:rsidRPr="004D3FDB">
        <w:rPr>
          <w:rFonts w:ascii="Arial" w:hAnsi="Arial" w:cs="Arial"/>
          <w:sz w:val="20"/>
          <w:szCs w:val="20"/>
        </w:rPr>
        <w:t xml:space="preserve"> zarówno dla najemców, decydentów</w:t>
      </w:r>
      <w:r w:rsidR="001A0A70">
        <w:rPr>
          <w:rFonts w:ascii="Arial" w:hAnsi="Arial" w:cs="Arial"/>
          <w:sz w:val="20"/>
          <w:szCs w:val="20"/>
        </w:rPr>
        <w:t xml:space="preserve"> kształtujących politykę mieszkaniową</w:t>
      </w:r>
      <w:r w:rsidR="004D3FDB" w:rsidRPr="004D3FDB">
        <w:rPr>
          <w:rFonts w:ascii="Arial" w:hAnsi="Arial" w:cs="Arial"/>
          <w:sz w:val="20"/>
          <w:szCs w:val="20"/>
        </w:rPr>
        <w:t xml:space="preserve"> </w:t>
      </w:r>
      <w:r w:rsidR="004D3FDB">
        <w:rPr>
          <w:rFonts w:ascii="Arial" w:hAnsi="Arial" w:cs="Arial"/>
          <w:sz w:val="20"/>
          <w:szCs w:val="20"/>
        </w:rPr>
        <w:t>oraz</w:t>
      </w:r>
      <w:r w:rsidR="004D3FDB" w:rsidRPr="004D3FDB">
        <w:rPr>
          <w:rFonts w:ascii="Arial" w:hAnsi="Arial" w:cs="Arial"/>
          <w:sz w:val="20"/>
          <w:szCs w:val="20"/>
        </w:rPr>
        <w:t xml:space="preserve"> inwestorów. W okresie </w:t>
      </w:r>
      <w:r w:rsidR="004D3FDB">
        <w:rPr>
          <w:rFonts w:ascii="Arial" w:hAnsi="Arial" w:cs="Arial"/>
          <w:sz w:val="20"/>
          <w:szCs w:val="20"/>
        </w:rPr>
        <w:t>dwunastu</w:t>
      </w:r>
      <w:r w:rsidR="004D3FDB" w:rsidRPr="004D3FDB">
        <w:rPr>
          <w:rFonts w:ascii="Arial" w:hAnsi="Arial" w:cs="Arial"/>
          <w:sz w:val="20"/>
          <w:szCs w:val="20"/>
        </w:rPr>
        <w:t xml:space="preserve"> miesięcy poprzedzających 30 września 2023 r</w:t>
      </w:r>
      <w:r w:rsidR="004D3FDB">
        <w:rPr>
          <w:rFonts w:ascii="Arial" w:hAnsi="Arial" w:cs="Arial"/>
          <w:sz w:val="20"/>
          <w:szCs w:val="20"/>
        </w:rPr>
        <w:t>oku,</w:t>
      </w:r>
      <w:r w:rsidR="004D3FDB" w:rsidRPr="004D3FDB">
        <w:rPr>
          <w:rFonts w:ascii="Arial" w:hAnsi="Arial" w:cs="Arial"/>
          <w:sz w:val="20"/>
          <w:szCs w:val="20"/>
        </w:rPr>
        <w:t xml:space="preserve"> w całej Europie (z wyłączeniem Wielkiej Brytanii) czynsze wzrosły średnio o 8,2%, natomiast w Wielkiej Brytanii odnotowano wzrost o 10%. W tej sytuacji inwestorzy instytucjonalni mają szansę zwiększyć podaż nowych mieszkań w długim horyzoncie czasowym, natomiast w perspektywie krótkoterminowej </w:t>
      </w:r>
      <w:r w:rsidR="003272FD">
        <w:rPr>
          <w:rFonts w:ascii="Arial" w:hAnsi="Arial" w:cs="Arial"/>
          <w:sz w:val="20"/>
          <w:szCs w:val="20"/>
        </w:rPr>
        <w:t>nie powinni zakładać spektakularnego wzrostu czynszu</w:t>
      </w:r>
      <w:r w:rsidR="004D3FDB" w:rsidRPr="004D3FDB">
        <w:rPr>
          <w:rFonts w:ascii="Arial" w:hAnsi="Arial" w:cs="Arial"/>
          <w:sz w:val="20"/>
          <w:szCs w:val="20"/>
        </w:rPr>
        <w:t>,</w:t>
      </w:r>
      <w:r w:rsidR="003272FD">
        <w:rPr>
          <w:rFonts w:ascii="Arial" w:hAnsi="Arial" w:cs="Arial"/>
          <w:sz w:val="20"/>
          <w:szCs w:val="20"/>
        </w:rPr>
        <w:t xml:space="preserve"> a</w:t>
      </w:r>
      <w:r w:rsidR="004D3FDB" w:rsidRPr="004D3FDB">
        <w:rPr>
          <w:rFonts w:ascii="Arial" w:hAnsi="Arial" w:cs="Arial"/>
          <w:sz w:val="20"/>
          <w:szCs w:val="20"/>
        </w:rPr>
        <w:t xml:space="preserve"> koncentr</w:t>
      </w:r>
      <w:r w:rsidR="003272FD">
        <w:rPr>
          <w:rFonts w:ascii="Arial" w:hAnsi="Arial" w:cs="Arial"/>
          <w:sz w:val="20"/>
          <w:szCs w:val="20"/>
        </w:rPr>
        <w:t>ować się</w:t>
      </w:r>
      <w:r w:rsidR="009601E9">
        <w:rPr>
          <w:rFonts w:ascii="Arial" w:hAnsi="Arial" w:cs="Arial"/>
          <w:sz w:val="20"/>
          <w:szCs w:val="20"/>
        </w:rPr>
        <w:t xml:space="preserve"> </w:t>
      </w:r>
      <w:r w:rsidR="004D3FDB" w:rsidRPr="004D3FDB">
        <w:rPr>
          <w:rFonts w:ascii="Arial" w:hAnsi="Arial" w:cs="Arial"/>
          <w:sz w:val="20"/>
          <w:szCs w:val="20"/>
        </w:rPr>
        <w:t>na dostępności cenowej i</w:t>
      </w:r>
      <w:r w:rsidR="00C22D27">
        <w:rPr>
          <w:rFonts w:ascii="Arial" w:hAnsi="Arial" w:cs="Arial"/>
          <w:sz w:val="20"/>
          <w:szCs w:val="20"/>
        </w:rPr>
        <w:t xml:space="preserve"> optymalizacji przychodu netto</w:t>
      </w:r>
      <w:r w:rsidR="00954C10">
        <w:rPr>
          <w:rFonts w:ascii="Arial" w:hAnsi="Arial" w:cs="Arial"/>
          <w:sz w:val="20"/>
          <w:szCs w:val="20"/>
        </w:rPr>
        <w:t xml:space="preserve"> oraz kosztów operacyjnych</w:t>
      </w:r>
      <w:r w:rsidR="004D3FDB" w:rsidRPr="004D3FDB">
        <w:rPr>
          <w:rFonts w:ascii="Arial" w:hAnsi="Arial" w:cs="Arial"/>
          <w:sz w:val="20"/>
          <w:szCs w:val="20"/>
        </w:rPr>
        <w:t>.</w:t>
      </w:r>
      <w:r w:rsidR="0010788A">
        <w:rPr>
          <w:rFonts w:ascii="Arial" w:hAnsi="Arial" w:cs="Arial"/>
          <w:sz w:val="20"/>
          <w:szCs w:val="20"/>
        </w:rPr>
        <w:t xml:space="preserve"> </w:t>
      </w:r>
      <w:r w:rsidR="009601E9">
        <w:rPr>
          <w:rFonts w:ascii="Arial" w:hAnsi="Arial" w:cs="Arial"/>
          <w:sz w:val="20"/>
          <w:szCs w:val="20"/>
        </w:rPr>
        <w:t xml:space="preserve">Zdaniem </w:t>
      </w:r>
      <w:proofErr w:type="spellStart"/>
      <w:r w:rsidR="009601E9">
        <w:rPr>
          <w:rFonts w:ascii="Arial" w:hAnsi="Arial" w:cs="Arial"/>
          <w:sz w:val="20"/>
          <w:szCs w:val="20"/>
        </w:rPr>
        <w:t>Savills</w:t>
      </w:r>
      <w:proofErr w:type="spellEnd"/>
      <w:r w:rsidR="009601E9">
        <w:rPr>
          <w:rFonts w:ascii="Arial" w:hAnsi="Arial" w:cs="Arial"/>
          <w:sz w:val="20"/>
          <w:szCs w:val="20"/>
        </w:rPr>
        <w:t xml:space="preserve"> IM, p</w:t>
      </w:r>
      <w:r w:rsidR="0010788A">
        <w:rPr>
          <w:rFonts w:ascii="Arial" w:hAnsi="Arial" w:cs="Arial"/>
          <w:sz w:val="20"/>
          <w:szCs w:val="20"/>
        </w:rPr>
        <w:t>oza pozytywnym wydźwiękiem społecznym,</w:t>
      </w:r>
      <w:r w:rsidR="009601E9">
        <w:rPr>
          <w:rFonts w:ascii="Arial" w:hAnsi="Arial" w:cs="Arial"/>
          <w:sz w:val="20"/>
          <w:szCs w:val="20"/>
        </w:rPr>
        <w:t xml:space="preserve"> </w:t>
      </w:r>
      <w:r w:rsidR="00954C10">
        <w:rPr>
          <w:rFonts w:ascii="Arial" w:hAnsi="Arial" w:cs="Arial"/>
          <w:sz w:val="20"/>
          <w:szCs w:val="20"/>
        </w:rPr>
        <w:t>przełoży się to na większą skłonność najemców do</w:t>
      </w:r>
      <w:r w:rsidR="004D3FDB" w:rsidRPr="004D3FDB">
        <w:rPr>
          <w:rFonts w:ascii="Arial" w:hAnsi="Arial" w:cs="Arial"/>
          <w:sz w:val="20"/>
          <w:szCs w:val="20"/>
        </w:rPr>
        <w:t xml:space="preserve"> zawierania </w:t>
      </w:r>
      <w:r w:rsidR="004D3FDB">
        <w:rPr>
          <w:rFonts w:ascii="Arial" w:hAnsi="Arial" w:cs="Arial"/>
          <w:sz w:val="20"/>
          <w:szCs w:val="20"/>
        </w:rPr>
        <w:t xml:space="preserve">dłuższych </w:t>
      </w:r>
      <w:r w:rsidR="004D3FDB" w:rsidRPr="004D3FDB">
        <w:rPr>
          <w:rFonts w:ascii="Arial" w:hAnsi="Arial" w:cs="Arial"/>
          <w:sz w:val="20"/>
          <w:szCs w:val="20"/>
        </w:rPr>
        <w:t xml:space="preserve">umów, </w:t>
      </w:r>
      <w:r w:rsidR="009601E9">
        <w:rPr>
          <w:rFonts w:ascii="Arial" w:hAnsi="Arial" w:cs="Arial"/>
          <w:sz w:val="20"/>
          <w:szCs w:val="20"/>
        </w:rPr>
        <w:t xml:space="preserve">a </w:t>
      </w:r>
      <w:r w:rsidR="004227CD">
        <w:rPr>
          <w:rFonts w:ascii="Arial" w:hAnsi="Arial" w:cs="Arial"/>
          <w:sz w:val="20"/>
          <w:szCs w:val="20"/>
        </w:rPr>
        <w:t xml:space="preserve">tym samym </w:t>
      </w:r>
      <w:r w:rsidR="009601E9">
        <w:rPr>
          <w:rFonts w:ascii="Arial" w:hAnsi="Arial" w:cs="Arial"/>
          <w:sz w:val="20"/>
          <w:szCs w:val="20"/>
        </w:rPr>
        <w:t xml:space="preserve">na </w:t>
      </w:r>
      <w:r w:rsidR="004D3FDB" w:rsidRPr="004D3FDB">
        <w:rPr>
          <w:rFonts w:ascii="Arial" w:hAnsi="Arial" w:cs="Arial"/>
          <w:sz w:val="20"/>
          <w:szCs w:val="20"/>
        </w:rPr>
        <w:t>stabilniejszy dochód</w:t>
      </w:r>
      <w:r w:rsidR="004D3FDB">
        <w:rPr>
          <w:rFonts w:ascii="Arial" w:hAnsi="Arial" w:cs="Arial"/>
          <w:sz w:val="20"/>
          <w:szCs w:val="20"/>
        </w:rPr>
        <w:t xml:space="preserve"> dla inwestorów</w:t>
      </w:r>
      <w:r w:rsidR="004D3FDB" w:rsidRPr="004D3FDB">
        <w:rPr>
          <w:rFonts w:ascii="Arial" w:hAnsi="Arial" w:cs="Arial"/>
          <w:sz w:val="20"/>
          <w:szCs w:val="20"/>
        </w:rPr>
        <w:t>.</w:t>
      </w:r>
    </w:p>
    <w:p w14:paraId="4A3DC41A" w14:textId="29E0C2DC" w:rsidR="00E708D5" w:rsidRPr="00E708D5" w:rsidRDefault="00B02BFF" w:rsidP="00E708D5">
      <w:pPr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Wzrost</w:t>
      </w:r>
      <w:r w:rsidR="00E708D5" w:rsidRPr="00E708D5">
        <w:rPr>
          <w:rFonts w:ascii="Arial" w:hAnsi="Arial" w:cs="Arial"/>
          <w:b/>
          <w:sz w:val="20"/>
          <w:szCs w:val="20"/>
        </w:rPr>
        <w:t xml:space="preserve"> czynszów w miejskic</w:t>
      </w:r>
      <w:r w:rsidR="009601E9">
        <w:rPr>
          <w:rFonts w:ascii="Arial" w:hAnsi="Arial" w:cs="Arial"/>
          <w:b/>
          <w:sz w:val="20"/>
          <w:szCs w:val="20"/>
        </w:rPr>
        <w:t>h</w:t>
      </w:r>
      <w:r w:rsidR="00092BC2">
        <w:rPr>
          <w:rFonts w:ascii="Arial" w:hAnsi="Arial" w:cs="Arial"/>
          <w:b/>
          <w:sz w:val="20"/>
          <w:szCs w:val="20"/>
        </w:rPr>
        <w:t xml:space="preserve"> magazynach</w:t>
      </w:r>
    </w:p>
    <w:p w14:paraId="27F53C23" w14:textId="0BD2C4AF" w:rsidR="00F76AB6" w:rsidRDefault="008E005B" w:rsidP="00E708D5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Zdaniem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IM, c</w:t>
      </w:r>
      <w:r w:rsidR="00E708D5" w:rsidRPr="00E708D5">
        <w:rPr>
          <w:rFonts w:ascii="Arial" w:hAnsi="Arial" w:cs="Arial"/>
          <w:sz w:val="20"/>
          <w:szCs w:val="20"/>
        </w:rPr>
        <w:t xml:space="preserve">zynsze w nowoczesnych miejskich obiektach </w:t>
      </w:r>
      <w:r w:rsidR="00092BC2">
        <w:rPr>
          <w:rFonts w:ascii="Arial" w:hAnsi="Arial" w:cs="Arial"/>
          <w:sz w:val="20"/>
          <w:szCs w:val="20"/>
        </w:rPr>
        <w:t xml:space="preserve">magazynowych </w:t>
      </w:r>
      <w:r w:rsidR="00E708D5" w:rsidRPr="009601E9">
        <w:rPr>
          <w:rFonts w:ascii="Arial" w:hAnsi="Arial" w:cs="Arial"/>
          <w:sz w:val="20"/>
          <w:szCs w:val="20"/>
        </w:rPr>
        <w:t>powinny wyraźnie rosnąć</w:t>
      </w:r>
      <w:r w:rsidR="00922617">
        <w:rPr>
          <w:rFonts w:ascii="Arial" w:hAnsi="Arial" w:cs="Arial"/>
          <w:sz w:val="20"/>
          <w:szCs w:val="20"/>
        </w:rPr>
        <w:t xml:space="preserve"> </w:t>
      </w:r>
      <w:r w:rsidR="00E708D5" w:rsidRPr="009601E9">
        <w:rPr>
          <w:rFonts w:ascii="Arial" w:hAnsi="Arial" w:cs="Arial"/>
          <w:sz w:val="20"/>
          <w:szCs w:val="20"/>
        </w:rPr>
        <w:t>w 2024 roku</w:t>
      </w:r>
      <w:r w:rsidR="00E708D5" w:rsidRPr="00B06945">
        <w:rPr>
          <w:rFonts w:ascii="Arial" w:hAnsi="Arial" w:cs="Arial"/>
          <w:sz w:val="20"/>
          <w:szCs w:val="20"/>
        </w:rPr>
        <w:t>,</w:t>
      </w:r>
      <w:r w:rsidR="00E708D5" w:rsidRPr="00E708D5">
        <w:rPr>
          <w:rFonts w:ascii="Arial" w:hAnsi="Arial" w:cs="Arial"/>
          <w:sz w:val="20"/>
          <w:szCs w:val="20"/>
        </w:rPr>
        <w:t xml:space="preserve"> zwłaszcza jeżeli budynki położone</w:t>
      </w:r>
      <w:r w:rsidR="00922617">
        <w:rPr>
          <w:rFonts w:ascii="Arial" w:hAnsi="Arial" w:cs="Arial"/>
          <w:sz w:val="20"/>
          <w:szCs w:val="20"/>
        </w:rPr>
        <w:t xml:space="preserve"> </w:t>
      </w:r>
      <w:r w:rsidR="00E708D5" w:rsidRPr="00E708D5">
        <w:rPr>
          <w:rFonts w:ascii="Arial" w:hAnsi="Arial" w:cs="Arial"/>
          <w:sz w:val="20"/>
          <w:szCs w:val="20"/>
        </w:rPr>
        <w:t xml:space="preserve">są w obrębie lub w pobliżu głównych aglomeracji. W sektorze </w:t>
      </w:r>
      <w:r w:rsidR="00092BC2">
        <w:rPr>
          <w:rFonts w:ascii="Arial" w:hAnsi="Arial" w:cs="Arial"/>
          <w:sz w:val="20"/>
          <w:szCs w:val="20"/>
        </w:rPr>
        <w:t>magazynowym</w:t>
      </w:r>
      <w:r>
        <w:rPr>
          <w:rFonts w:ascii="Arial" w:hAnsi="Arial" w:cs="Arial"/>
          <w:sz w:val="20"/>
          <w:szCs w:val="20"/>
        </w:rPr>
        <w:t xml:space="preserve">, motorem napędowym nie jest już </w:t>
      </w:r>
      <w:r w:rsidR="00092BC2">
        <w:rPr>
          <w:rFonts w:ascii="Arial" w:hAnsi="Arial" w:cs="Arial"/>
          <w:sz w:val="20"/>
          <w:szCs w:val="20"/>
        </w:rPr>
        <w:t xml:space="preserve">spadek </w:t>
      </w:r>
      <w:r>
        <w:rPr>
          <w:rFonts w:ascii="Arial" w:hAnsi="Arial" w:cs="Arial"/>
          <w:sz w:val="20"/>
          <w:szCs w:val="20"/>
        </w:rPr>
        <w:t xml:space="preserve">stóp kapitalizacji, </w:t>
      </w:r>
      <w:r w:rsidR="0092261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właśnie wzrost czynszów. </w:t>
      </w:r>
      <w:r w:rsidR="00E708D5" w:rsidRPr="00E708D5">
        <w:rPr>
          <w:rFonts w:ascii="Arial" w:hAnsi="Arial" w:cs="Arial"/>
          <w:sz w:val="20"/>
          <w:szCs w:val="20"/>
        </w:rPr>
        <w:t xml:space="preserve">Niski poziom pustostanów i </w:t>
      </w:r>
      <w:r>
        <w:rPr>
          <w:rFonts w:ascii="Arial" w:hAnsi="Arial" w:cs="Arial"/>
          <w:sz w:val="20"/>
          <w:szCs w:val="20"/>
        </w:rPr>
        <w:t>ogólnie niska</w:t>
      </w:r>
      <w:r w:rsidR="00E708D5" w:rsidRPr="00E708D5">
        <w:rPr>
          <w:rFonts w:ascii="Arial" w:hAnsi="Arial" w:cs="Arial"/>
          <w:sz w:val="20"/>
          <w:szCs w:val="20"/>
        </w:rPr>
        <w:t xml:space="preserve"> jakość istniejących obiektów są czynnikami nasilającymi </w:t>
      </w:r>
      <w:r w:rsidR="004324D7">
        <w:rPr>
          <w:rFonts w:ascii="Arial" w:hAnsi="Arial" w:cs="Arial"/>
          <w:sz w:val="20"/>
          <w:szCs w:val="20"/>
        </w:rPr>
        <w:t>ten trend</w:t>
      </w:r>
      <w:r w:rsidR="00922617">
        <w:rPr>
          <w:rFonts w:ascii="Arial" w:hAnsi="Arial" w:cs="Arial"/>
          <w:sz w:val="20"/>
          <w:szCs w:val="20"/>
        </w:rPr>
        <w:t>,</w:t>
      </w:r>
      <w:r w:rsidR="00E708D5" w:rsidRPr="00E708D5">
        <w:rPr>
          <w:rFonts w:ascii="Arial" w:hAnsi="Arial" w:cs="Arial"/>
          <w:sz w:val="20"/>
          <w:szCs w:val="20"/>
        </w:rPr>
        <w:t xml:space="preserve"> </w:t>
      </w:r>
      <w:r w:rsidR="004324D7">
        <w:rPr>
          <w:rFonts w:ascii="Arial" w:hAnsi="Arial" w:cs="Arial"/>
          <w:sz w:val="20"/>
          <w:szCs w:val="20"/>
        </w:rPr>
        <w:t xml:space="preserve">zwłaszcza </w:t>
      </w:r>
      <w:r w:rsidR="00E708D5" w:rsidRPr="00E708D5">
        <w:rPr>
          <w:rFonts w:ascii="Arial" w:hAnsi="Arial" w:cs="Arial"/>
          <w:sz w:val="20"/>
          <w:szCs w:val="20"/>
        </w:rPr>
        <w:t xml:space="preserve">w obszarach miejskich, gdzie </w:t>
      </w:r>
      <w:r w:rsidR="004324D7">
        <w:rPr>
          <w:rFonts w:ascii="Arial" w:hAnsi="Arial" w:cs="Arial"/>
          <w:sz w:val="20"/>
          <w:szCs w:val="20"/>
        </w:rPr>
        <w:t>odległość</w:t>
      </w:r>
      <w:r w:rsidR="004324D7" w:rsidRPr="00E708D5">
        <w:rPr>
          <w:rFonts w:ascii="Arial" w:hAnsi="Arial" w:cs="Arial"/>
          <w:sz w:val="20"/>
          <w:szCs w:val="20"/>
        </w:rPr>
        <w:t xml:space="preserve"> </w:t>
      </w:r>
      <w:r w:rsidR="00E708D5" w:rsidRPr="00E708D5">
        <w:rPr>
          <w:rFonts w:ascii="Arial" w:hAnsi="Arial" w:cs="Arial"/>
          <w:sz w:val="20"/>
          <w:szCs w:val="20"/>
        </w:rPr>
        <w:t xml:space="preserve">do klienta końcowego </w:t>
      </w:r>
      <w:r w:rsidR="00ED7957">
        <w:rPr>
          <w:rFonts w:ascii="Arial" w:hAnsi="Arial" w:cs="Arial"/>
          <w:sz w:val="20"/>
          <w:szCs w:val="20"/>
        </w:rPr>
        <w:t>jest</w:t>
      </w:r>
      <w:r w:rsidR="00E708D5" w:rsidRPr="00E708D5">
        <w:rPr>
          <w:rFonts w:ascii="Arial" w:hAnsi="Arial" w:cs="Arial"/>
          <w:sz w:val="20"/>
          <w:szCs w:val="20"/>
        </w:rPr>
        <w:t xml:space="preserve"> czynnikiem o krytycznym znaczeniu, zaś podaż odpowiednich </w:t>
      </w:r>
      <w:r w:rsidR="0077474B">
        <w:rPr>
          <w:rFonts w:ascii="Arial" w:hAnsi="Arial" w:cs="Arial"/>
          <w:sz w:val="20"/>
          <w:szCs w:val="20"/>
        </w:rPr>
        <w:t>gruntów jest niska</w:t>
      </w:r>
      <w:r w:rsidR="00E708D5" w:rsidRPr="00E708D5">
        <w:rPr>
          <w:rFonts w:ascii="Arial" w:hAnsi="Arial" w:cs="Arial"/>
          <w:sz w:val="20"/>
          <w:szCs w:val="20"/>
        </w:rPr>
        <w:t xml:space="preserve">. </w:t>
      </w:r>
      <w:r w:rsidR="008611C8">
        <w:rPr>
          <w:rFonts w:ascii="Arial" w:hAnsi="Arial" w:cs="Arial"/>
          <w:sz w:val="20"/>
          <w:szCs w:val="20"/>
        </w:rPr>
        <w:t>Zarówno strategia lokowania kapitału</w:t>
      </w:r>
      <w:r>
        <w:rPr>
          <w:rFonts w:ascii="Arial" w:hAnsi="Arial" w:cs="Arial"/>
          <w:sz w:val="20"/>
          <w:szCs w:val="20"/>
        </w:rPr>
        <w:t xml:space="preserve"> </w:t>
      </w:r>
      <w:r w:rsidR="00E708D5" w:rsidRPr="00E708D5">
        <w:rPr>
          <w:rFonts w:ascii="Arial" w:hAnsi="Arial" w:cs="Arial"/>
          <w:sz w:val="20"/>
          <w:szCs w:val="20"/>
        </w:rPr>
        <w:t xml:space="preserve">w </w:t>
      </w:r>
      <w:r w:rsidR="008611C8">
        <w:rPr>
          <w:rFonts w:ascii="Arial" w:hAnsi="Arial" w:cs="Arial"/>
          <w:sz w:val="20"/>
          <w:szCs w:val="20"/>
        </w:rPr>
        <w:t>istniejące magazyny miejskie</w:t>
      </w:r>
      <w:r w:rsidR="00922617">
        <w:rPr>
          <w:rFonts w:ascii="Arial" w:hAnsi="Arial" w:cs="Arial"/>
          <w:sz w:val="20"/>
          <w:szCs w:val="20"/>
        </w:rPr>
        <w:t>,</w:t>
      </w:r>
      <w:r w:rsidR="00E708D5" w:rsidRPr="00E708D5">
        <w:rPr>
          <w:rFonts w:ascii="Arial" w:hAnsi="Arial" w:cs="Arial"/>
          <w:sz w:val="20"/>
          <w:szCs w:val="20"/>
        </w:rPr>
        <w:t xml:space="preserve"> </w:t>
      </w:r>
      <w:r w:rsidR="008611C8">
        <w:rPr>
          <w:rFonts w:ascii="Arial" w:hAnsi="Arial" w:cs="Arial"/>
          <w:sz w:val="20"/>
          <w:szCs w:val="20"/>
        </w:rPr>
        <w:t>jak i finansowania budowy nowoczesnych,</w:t>
      </w:r>
      <w:r w:rsidR="009601E9">
        <w:rPr>
          <w:rFonts w:ascii="Arial" w:hAnsi="Arial" w:cs="Arial"/>
          <w:sz w:val="20"/>
          <w:szCs w:val="20"/>
        </w:rPr>
        <w:t xml:space="preserve"> </w:t>
      </w:r>
      <w:r w:rsidR="008611C8">
        <w:rPr>
          <w:rFonts w:ascii="Arial" w:hAnsi="Arial" w:cs="Arial"/>
          <w:sz w:val="20"/>
          <w:szCs w:val="20"/>
        </w:rPr>
        <w:t>spełniaj</w:t>
      </w:r>
      <w:r w:rsidR="00922617">
        <w:rPr>
          <w:rFonts w:ascii="Arial" w:hAnsi="Arial" w:cs="Arial"/>
          <w:sz w:val="20"/>
          <w:szCs w:val="20"/>
        </w:rPr>
        <w:t>ą</w:t>
      </w:r>
      <w:r w:rsidR="008611C8">
        <w:rPr>
          <w:rFonts w:ascii="Arial" w:hAnsi="Arial" w:cs="Arial"/>
          <w:sz w:val="20"/>
          <w:szCs w:val="20"/>
        </w:rPr>
        <w:t>cych</w:t>
      </w:r>
      <w:r w:rsidR="00E708D5" w:rsidRPr="00E708D5">
        <w:rPr>
          <w:rFonts w:ascii="Arial" w:hAnsi="Arial" w:cs="Arial"/>
          <w:sz w:val="20"/>
          <w:szCs w:val="20"/>
        </w:rPr>
        <w:t xml:space="preserve"> kryteria ESG</w:t>
      </w:r>
      <w:r w:rsidR="008611C8">
        <w:rPr>
          <w:rFonts w:ascii="Arial" w:hAnsi="Arial" w:cs="Arial"/>
          <w:sz w:val="20"/>
          <w:szCs w:val="20"/>
        </w:rPr>
        <w:t xml:space="preserve"> </w:t>
      </w:r>
      <w:r w:rsidR="00F23B57">
        <w:rPr>
          <w:rFonts w:ascii="Arial" w:hAnsi="Arial" w:cs="Arial"/>
          <w:sz w:val="20"/>
          <w:szCs w:val="20"/>
        </w:rPr>
        <w:t>obiektów tego typu</w:t>
      </w:r>
      <w:r w:rsidR="008611C8">
        <w:rPr>
          <w:rFonts w:ascii="Arial" w:hAnsi="Arial" w:cs="Arial"/>
          <w:sz w:val="20"/>
          <w:szCs w:val="20"/>
        </w:rPr>
        <w:t>, mogą przynieść inwestorom</w:t>
      </w:r>
      <w:r w:rsidR="00B409EC">
        <w:rPr>
          <w:rFonts w:ascii="Arial" w:hAnsi="Arial" w:cs="Arial"/>
          <w:sz w:val="20"/>
          <w:szCs w:val="20"/>
        </w:rPr>
        <w:t xml:space="preserve"> nieprzeciętne</w:t>
      </w:r>
      <w:r w:rsidR="008611C8">
        <w:rPr>
          <w:rFonts w:ascii="Arial" w:hAnsi="Arial" w:cs="Arial"/>
          <w:sz w:val="20"/>
          <w:szCs w:val="20"/>
        </w:rPr>
        <w:t xml:space="preserve"> korzyści.</w:t>
      </w:r>
    </w:p>
    <w:p w14:paraId="0882B450" w14:textId="67E37A06" w:rsidR="00340C2F" w:rsidRDefault="00A272EE" w:rsidP="00340C2F">
      <w:pPr>
        <w:spacing w:before="100" w:beforeAutospacing="1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_Hlk88142467"/>
      <w:r>
        <w:rPr>
          <w:rFonts w:ascii="Arial" w:hAnsi="Arial" w:cs="Arial"/>
          <w:b/>
          <w:bCs/>
          <w:sz w:val="20"/>
          <w:szCs w:val="20"/>
          <w:lang w:val="en-US"/>
        </w:rPr>
        <w:t>Alex Jeffrey</w:t>
      </w:r>
      <w:r w:rsidR="00340C2F" w:rsidRPr="00340C2F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340C2F" w:rsidRPr="00340C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Chief Executive</w:t>
      </w:r>
      <w:r w:rsidR="00340C2F" w:rsidRPr="00340C2F">
        <w:rPr>
          <w:rFonts w:ascii="Arial" w:hAnsi="Arial" w:cs="Arial"/>
          <w:b/>
          <w:bCs/>
          <w:sz w:val="20"/>
          <w:szCs w:val="20"/>
          <w:lang w:val="en-US"/>
        </w:rPr>
        <w:t xml:space="preserve">, Savills IM, </w:t>
      </w:r>
      <w:proofErr w:type="spellStart"/>
      <w:r w:rsidR="00340C2F" w:rsidRPr="00340C2F">
        <w:rPr>
          <w:rFonts w:ascii="Arial" w:hAnsi="Arial" w:cs="Arial"/>
          <w:bCs/>
          <w:sz w:val="20"/>
          <w:szCs w:val="20"/>
          <w:lang w:val="en-US"/>
        </w:rPr>
        <w:t>skomentował</w:t>
      </w:r>
      <w:proofErr w:type="spellEnd"/>
      <w:r w:rsidR="00340C2F" w:rsidRPr="00340C2F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bookmarkEnd w:id="2"/>
    </w:p>
    <w:p w14:paraId="58D37104" w14:textId="5518D02F" w:rsidR="00C57F09" w:rsidRDefault="00C57F09" w:rsidP="00340C2F">
      <w:pPr>
        <w:spacing w:before="100" w:beforeAutospacing="1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14E02">
        <w:rPr>
          <w:rFonts w:ascii="Arial" w:hAnsi="Arial" w:cs="Arial"/>
          <w:sz w:val="20"/>
          <w:szCs w:val="20"/>
          <w:lang w:val="en-US"/>
        </w:rPr>
        <w:t xml:space="preserve"> </w:t>
      </w:r>
      <w:r w:rsidR="00A47763" w:rsidRPr="001D48C8">
        <w:rPr>
          <w:rFonts w:ascii="Arial" w:hAnsi="Arial" w:cs="Arial"/>
          <w:sz w:val="20"/>
          <w:szCs w:val="20"/>
        </w:rPr>
        <w:t>„</w:t>
      </w:r>
      <w:r w:rsidR="0071722D">
        <w:rPr>
          <w:rFonts w:ascii="Arial" w:hAnsi="Arial" w:cs="Arial"/>
          <w:i/>
          <w:sz w:val="20"/>
          <w:szCs w:val="20"/>
        </w:rPr>
        <w:t xml:space="preserve">Z </w:t>
      </w:r>
      <w:r w:rsidR="0071722D" w:rsidRPr="0071722D">
        <w:rPr>
          <w:rFonts w:ascii="Arial" w:hAnsi="Arial" w:cs="Arial"/>
          <w:i/>
          <w:sz w:val="20"/>
          <w:szCs w:val="20"/>
        </w:rPr>
        <w:t>dużym prawdopodobieństwem</w:t>
      </w:r>
      <w:r w:rsidR="0071722D">
        <w:rPr>
          <w:rFonts w:ascii="Arial" w:hAnsi="Arial" w:cs="Arial"/>
          <w:i/>
          <w:sz w:val="20"/>
          <w:szCs w:val="20"/>
        </w:rPr>
        <w:t>, 2024</w:t>
      </w:r>
      <w:r w:rsidR="0071722D" w:rsidRPr="0071722D">
        <w:rPr>
          <w:rFonts w:ascii="Arial" w:hAnsi="Arial" w:cs="Arial"/>
          <w:i/>
          <w:sz w:val="20"/>
          <w:szCs w:val="20"/>
        </w:rPr>
        <w:t xml:space="preserve"> będzie kolejnym</w:t>
      </w:r>
      <w:r>
        <w:rPr>
          <w:rFonts w:ascii="Arial" w:hAnsi="Arial" w:cs="Arial"/>
          <w:i/>
          <w:sz w:val="20"/>
          <w:szCs w:val="20"/>
        </w:rPr>
        <w:t xml:space="preserve"> rokiem</w:t>
      </w:r>
      <w:r w:rsidR="0071722D" w:rsidRPr="0071722D">
        <w:rPr>
          <w:rFonts w:ascii="Arial" w:hAnsi="Arial" w:cs="Arial"/>
          <w:i/>
          <w:sz w:val="20"/>
          <w:szCs w:val="20"/>
        </w:rPr>
        <w:t xml:space="preserve"> pełnym wyzwań dla inwestorów</w:t>
      </w:r>
      <w:r>
        <w:rPr>
          <w:rFonts w:ascii="Arial" w:hAnsi="Arial" w:cs="Arial"/>
          <w:i/>
          <w:sz w:val="20"/>
          <w:szCs w:val="20"/>
        </w:rPr>
        <w:t xml:space="preserve"> na rynku nieruchomości</w:t>
      </w:r>
      <w:r w:rsidR="0071722D" w:rsidRPr="0071722D">
        <w:rPr>
          <w:rFonts w:ascii="Arial" w:hAnsi="Arial" w:cs="Arial"/>
          <w:i/>
          <w:sz w:val="20"/>
          <w:szCs w:val="20"/>
        </w:rPr>
        <w:t>. Z drugiej strony, okresy dużych napięć rynkowych stworzą okazje dla inwestorów</w:t>
      </w:r>
      <w:r w:rsidR="00922617">
        <w:rPr>
          <w:rFonts w:ascii="Arial" w:hAnsi="Arial" w:cs="Arial"/>
          <w:i/>
          <w:sz w:val="20"/>
          <w:szCs w:val="20"/>
        </w:rPr>
        <w:t xml:space="preserve">, </w:t>
      </w:r>
      <w:r w:rsidR="00B409EC">
        <w:rPr>
          <w:rFonts w:ascii="Arial" w:hAnsi="Arial" w:cs="Arial"/>
          <w:i/>
          <w:sz w:val="20"/>
          <w:szCs w:val="20"/>
        </w:rPr>
        <w:t>którzy rozumieją zachodzące na nim zjawiska.</w:t>
      </w:r>
      <w:r>
        <w:rPr>
          <w:rFonts w:ascii="Arial" w:hAnsi="Arial" w:cs="Arial"/>
          <w:i/>
          <w:sz w:val="20"/>
          <w:szCs w:val="20"/>
        </w:rPr>
        <w:t xml:space="preserve"> Dostrzegamy</w:t>
      </w:r>
      <w:r w:rsidR="0071722D" w:rsidRPr="0071722D">
        <w:rPr>
          <w:rFonts w:ascii="Arial" w:hAnsi="Arial" w:cs="Arial"/>
          <w:i/>
          <w:sz w:val="20"/>
          <w:szCs w:val="20"/>
        </w:rPr>
        <w:t xml:space="preserve">, że inwestorzy </w:t>
      </w:r>
      <w:r>
        <w:rPr>
          <w:rFonts w:ascii="Arial" w:hAnsi="Arial" w:cs="Arial"/>
          <w:i/>
          <w:sz w:val="20"/>
          <w:szCs w:val="20"/>
        </w:rPr>
        <w:t>skłaniają się ku</w:t>
      </w:r>
      <w:r w:rsidR="0071722D" w:rsidRPr="0071722D">
        <w:rPr>
          <w:rFonts w:ascii="Arial" w:hAnsi="Arial" w:cs="Arial"/>
          <w:i/>
          <w:sz w:val="20"/>
          <w:szCs w:val="20"/>
        </w:rPr>
        <w:t xml:space="preserve"> strategiom zorientowanym na </w:t>
      </w:r>
      <w:r w:rsidRPr="00C57F09">
        <w:rPr>
          <w:rFonts w:ascii="Arial" w:hAnsi="Arial" w:cs="Arial"/>
          <w:i/>
          <w:sz w:val="20"/>
          <w:szCs w:val="20"/>
        </w:rPr>
        <w:t>sektor</w:t>
      </w:r>
      <w:r>
        <w:rPr>
          <w:rFonts w:ascii="Arial" w:hAnsi="Arial" w:cs="Arial"/>
          <w:i/>
          <w:sz w:val="20"/>
          <w:szCs w:val="20"/>
        </w:rPr>
        <w:t>y</w:t>
      </w:r>
      <w:r w:rsidRPr="00C57F0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57F09">
        <w:rPr>
          <w:rFonts w:ascii="Arial" w:hAnsi="Arial" w:cs="Arial"/>
          <w:i/>
          <w:sz w:val="20"/>
          <w:szCs w:val="20"/>
        </w:rPr>
        <w:t>living</w:t>
      </w:r>
      <w:proofErr w:type="spellEnd"/>
      <w:r w:rsidRPr="00C57F09">
        <w:rPr>
          <w:rFonts w:ascii="Arial" w:hAnsi="Arial" w:cs="Arial"/>
          <w:i/>
          <w:sz w:val="20"/>
          <w:szCs w:val="20"/>
        </w:rPr>
        <w:t xml:space="preserve">, </w:t>
      </w:r>
      <w:r w:rsidR="007E2166">
        <w:rPr>
          <w:rFonts w:ascii="Arial" w:hAnsi="Arial" w:cs="Arial"/>
          <w:i/>
          <w:sz w:val="20"/>
          <w:szCs w:val="20"/>
        </w:rPr>
        <w:t>miejskiej logistyki</w:t>
      </w:r>
      <w:r w:rsidRPr="00C57F09">
        <w:rPr>
          <w:rFonts w:ascii="Arial" w:hAnsi="Arial" w:cs="Arial"/>
          <w:i/>
          <w:sz w:val="20"/>
          <w:szCs w:val="20"/>
        </w:rPr>
        <w:t xml:space="preserve">, finansowania zabezpieczonego nieruchomościami oraz </w:t>
      </w:r>
      <w:r>
        <w:rPr>
          <w:rFonts w:ascii="Arial" w:hAnsi="Arial" w:cs="Arial"/>
          <w:i/>
          <w:sz w:val="20"/>
          <w:szCs w:val="20"/>
        </w:rPr>
        <w:t xml:space="preserve">coraz </w:t>
      </w:r>
      <w:r w:rsidR="001859A8">
        <w:rPr>
          <w:rFonts w:ascii="Arial" w:hAnsi="Arial" w:cs="Arial"/>
          <w:i/>
          <w:sz w:val="20"/>
          <w:szCs w:val="20"/>
        </w:rPr>
        <w:t>częście</w:t>
      </w:r>
      <w:r w:rsidR="00922617">
        <w:rPr>
          <w:rFonts w:ascii="Arial" w:hAnsi="Arial" w:cs="Arial"/>
          <w:i/>
          <w:sz w:val="20"/>
          <w:szCs w:val="20"/>
        </w:rPr>
        <w:t>j</w:t>
      </w:r>
      <w:r>
        <w:rPr>
          <w:rFonts w:ascii="Arial" w:hAnsi="Arial" w:cs="Arial"/>
          <w:i/>
          <w:sz w:val="20"/>
          <w:szCs w:val="20"/>
        </w:rPr>
        <w:t xml:space="preserve"> także ku strategiom opartym na </w:t>
      </w:r>
      <w:r w:rsidRPr="00C57F09">
        <w:rPr>
          <w:rFonts w:ascii="Arial" w:hAnsi="Arial" w:cs="Arial"/>
          <w:i/>
          <w:sz w:val="20"/>
          <w:szCs w:val="20"/>
        </w:rPr>
        <w:t>kapita</w:t>
      </w:r>
      <w:r>
        <w:rPr>
          <w:rFonts w:ascii="Arial" w:hAnsi="Arial" w:cs="Arial"/>
          <w:i/>
          <w:sz w:val="20"/>
          <w:szCs w:val="20"/>
        </w:rPr>
        <w:t>le</w:t>
      </w:r>
      <w:r w:rsidRPr="00C57F09">
        <w:rPr>
          <w:rFonts w:ascii="Arial" w:hAnsi="Arial" w:cs="Arial"/>
          <w:i/>
          <w:sz w:val="20"/>
          <w:szCs w:val="20"/>
        </w:rPr>
        <w:t xml:space="preserve"> naturaln</w:t>
      </w:r>
      <w:r>
        <w:rPr>
          <w:rFonts w:ascii="Arial" w:hAnsi="Arial" w:cs="Arial"/>
          <w:i/>
          <w:sz w:val="20"/>
          <w:szCs w:val="20"/>
        </w:rPr>
        <w:t>ym</w:t>
      </w:r>
      <w:r w:rsidRPr="00C57F0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”</w:t>
      </w:r>
    </w:p>
    <w:p w14:paraId="14F67500" w14:textId="17D8B913" w:rsidR="00C57F09" w:rsidRPr="00A14E02" w:rsidRDefault="00AB537F" w:rsidP="00340C2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4E02">
        <w:rPr>
          <w:rFonts w:ascii="Arial" w:hAnsi="Arial" w:cs="Arial"/>
          <w:b/>
          <w:sz w:val="20"/>
          <w:szCs w:val="20"/>
          <w:lang w:val="en-US"/>
        </w:rPr>
        <w:t>Andrew Allen, Global Head of Research, Product Strategy and Development, Savills IM</w:t>
      </w:r>
      <w:r w:rsidRPr="00A14E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14E02">
        <w:rPr>
          <w:rFonts w:ascii="Arial" w:hAnsi="Arial" w:cs="Arial"/>
          <w:sz w:val="20"/>
          <w:szCs w:val="20"/>
          <w:lang w:val="en-US"/>
        </w:rPr>
        <w:t>podkreślił</w:t>
      </w:r>
      <w:proofErr w:type="spellEnd"/>
      <w:r w:rsidRPr="00A14E02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9807921" w14:textId="677E6138" w:rsidR="00F60BE4" w:rsidRPr="00565DBB" w:rsidRDefault="00AB537F" w:rsidP="00F60BE4">
      <w:pPr>
        <w:spacing w:before="100" w:beforeAutospacing="1" w:after="6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60BE4" w:rsidRPr="00565DBB">
        <w:rPr>
          <w:rFonts w:ascii="Arial" w:hAnsi="Arial" w:cs="Arial"/>
          <w:i/>
          <w:sz w:val="20"/>
          <w:szCs w:val="20"/>
        </w:rPr>
        <w:t>W sektorze</w:t>
      </w:r>
      <w:r w:rsidR="001859A8">
        <w:rPr>
          <w:rFonts w:ascii="Arial" w:hAnsi="Arial" w:cs="Arial"/>
          <w:i/>
          <w:sz w:val="20"/>
          <w:szCs w:val="20"/>
        </w:rPr>
        <w:t xml:space="preserve"> magazynów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miejskich w dalszym ciągu motorem wzrostu są silne czynniki fundamentalne, natomiast popyt</w:t>
      </w:r>
      <w:r w:rsidR="007E2166">
        <w:rPr>
          <w:rFonts w:ascii="Arial" w:hAnsi="Arial" w:cs="Arial"/>
          <w:i/>
          <w:sz w:val="20"/>
          <w:szCs w:val="20"/>
        </w:rPr>
        <w:t xml:space="preserve"> najemców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na obiekty nowoczesne, spełniające wymogi ESG i najlepsze w swojej klasie aktywa, stwarza okazje inwestycyjne. Z kolei, w sektorze mieszkań z segmentu popularnego nadal rośnie znaczenie kapitału prywatnego </w:t>
      </w:r>
      <w:r w:rsidR="00E27DF7">
        <w:rPr>
          <w:rFonts w:ascii="Arial" w:hAnsi="Arial" w:cs="Arial"/>
          <w:i/>
          <w:sz w:val="20"/>
          <w:szCs w:val="20"/>
        </w:rPr>
        <w:t>wspomagającego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dostępnoś</w:t>
      </w:r>
      <w:r w:rsidR="002052A5">
        <w:rPr>
          <w:rFonts w:ascii="Arial" w:hAnsi="Arial" w:cs="Arial"/>
          <w:i/>
          <w:sz w:val="20"/>
          <w:szCs w:val="20"/>
        </w:rPr>
        <w:t>ć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</w:t>
      </w:r>
      <w:r w:rsidR="00565DBB" w:rsidRPr="00565DBB">
        <w:rPr>
          <w:rFonts w:ascii="Arial" w:hAnsi="Arial" w:cs="Arial"/>
          <w:i/>
          <w:sz w:val="20"/>
          <w:szCs w:val="20"/>
        </w:rPr>
        <w:t>lokali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dla </w:t>
      </w:r>
      <w:r w:rsidR="00565DBB" w:rsidRPr="00565DBB">
        <w:rPr>
          <w:rFonts w:ascii="Arial" w:hAnsi="Arial" w:cs="Arial"/>
          <w:i/>
          <w:sz w:val="20"/>
          <w:szCs w:val="20"/>
        </w:rPr>
        <w:t>mieszkańców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 Europ</w:t>
      </w:r>
      <w:r w:rsidR="00E27DF7">
        <w:rPr>
          <w:rFonts w:ascii="Arial" w:hAnsi="Arial" w:cs="Arial"/>
          <w:i/>
          <w:sz w:val="20"/>
          <w:szCs w:val="20"/>
        </w:rPr>
        <w:t>y</w:t>
      </w:r>
      <w:r w:rsidR="00F60BE4" w:rsidRPr="00565DBB">
        <w:rPr>
          <w:rFonts w:ascii="Arial" w:hAnsi="Arial" w:cs="Arial"/>
          <w:i/>
          <w:sz w:val="20"/>
          <w:szCs w:val="20"/>
        </w:rPr>
        <w:t xml:space="preserve">. </w:t>
      </w:r>
    </w:p>
    <w:p w14:paraId="7040D049" w14:textId="62616EF4" w:rsidR="00AB537F" w:rsidRDefault="00F60BE4" w:rsidP="00F60BE4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565DBB">
        <w:rPr>
          <w:rFonts w:ascii="Arial" w:hAnsi="Arial" w:cs="Arial"/>
          <w:i/>
          <w:sz w:val="20"/>
          <w:szCs w:val="20"/>
        </w:rPr>
        <w:lastRenderedPageBreak/>
        <w:t xml:space="preserve">Rynek inwestycji dłużnych nadal przynosi wysokie zwroty skorygowane o ryzyko i </w:t>
      </w:r>
      <w:r w:rsidR="00565DBB" w:rsidRPr="00565DBB">
        <w:rPr>
          <w:rFonts w:ascii="Arial" w:hAnsi="Arial" w:cs="Arial"/>
          <w:i/>
          <w:sz w:val="20"/>
          <w:szCs w:val="20"/>
        </w:rPr>
        <w:t xml:space="preserve">charakteryzujące się </w:t>
      </w:r>
      <w:r w:rsidRPr="00565DBB">
        <w:rPr>
          <w:rFonts w:ascii="Arial" w:hAnsi="Arial" w:cs="Arial"/>
          <w:i/>
          <w:sz w:val="20"/>
          <w:szCs w:val="20"/>
        </w:rPr>
        <w:t>dobrą ochroną przed spadkiem wartości. W warunkach nasilającej się niepewności koniunkturalnej na rynku</w:t>
      </w:r>
      <w:r w:rsidR="00565DBB" w:rsidRPr="00565DBB">
        <w:rPr>
          <w:rFonts w:ascii="Arial" w:hAnsi="Arial" w:cs="Arial"/>
          <w:i/>
          <w:sz w:val="20"/>
          <w:szCs w:val="20"/>
        </w:rPr>
        <w:t>,</w:t>
      </w:r>
      <w:r w:rsidRPr="00565DBB">
        <w:rPr>
          <w:rFonts w:ascii="Arial" w:hAnsi="Arial" w:cs="Arial"/>
          <w:i/>
          <w:sz w:val="20"/>
          <w:szCs w:val="20"/>
        </w:rPr>
        <w:t xml:space="preserve"> sta</w:t>
      </w:r>
      <w:r w:rsidR="00565DBB" w:rsidRPr="00565DBB">
        <w:rPr>
          <w:rFonts w:ascii="Arial" w:hAnsi="Arial" w:cs="Arial"/>
          <w:i/>
          <w:sz w:val="20"/>
          <w:szCs w:val="20"/>
        </w:rPr>
        <w:t xml:space="preserve">bilny </w:t>
      </w:r>
      <w:r w:rsidRPr="00565DBB">
        <w:rPr>
          <w:rFonts w:ascii="Arial" w:hAnsi="Arial" w:cs="Arial"/>
          <w:i/>
          <w:sz w:val="20"/>
          <w:szCs w:val="20"/>
        </w:rPr>
        <w:t xml:space="preserve">dochód </w:t>
      </w:r>
      <w:r w:rsidR="00565DBB" w:rsidRPr="00565DBB">
        <w:rPr>
          <w:rFonts w:ascii="Arial" w:hAnsi="Arial" w:cs="Arial"/>
          <w:i/>
          <w:sz w:val="20"/>
          <w:szCs w:val="20"/>
        </w:rPr>
        <w:t xml:space="preserve">zapewniany przez uprzywilejowane kredyty na nieruchomości, </w:t>
      </w:r>
      <w:r w:rsidRPr="00565DBB">
        <w:rPr>
          <w:rFonts w:ascii="Arial" w:hAnsi="Arial" w:cs="Arial"/>
          <w:i/>
          <w:sz w:val="20"/>
          <w:szCs w:val="20"/>
        </w:rPr>
        <w:t>zachowa wysoką atrakcyjność dla inwestorów instytucjonalnych.</w:t>
      </w:r>
      <w:r w:rsidR="00565DBB">
        <w:rPr>
          <w:rFonts w:ascii="Arial" w:hAnsi="Arial" w:cs="Arial"/>
          <w:sz w:val="20"/>
          <w:szCs w:val="20"/>
        </w:rPr>
        <w:t>”</w:t>
      </w:r>
    </w:p>
    <w:p w14:paraId="757766EA" w14:textId="20F5BCB6" w:rsidR="00565DBB" w:rsidRDefault="00565DBB" w:rsidP="00F60BE4">
      <w:pPr>
        <w:spacing w:before="100" w:beforeAutospacing="1" w:after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EF3">
        <w:rPr>
          <w:rFonts w:ascii="Arial" w:hAnsi="Arial" w:cs="Arial"/>
          <w:b/>
          <w:bCs/>
          <w:sz w:val="20"/>
          <w:szCs w:val="20"/>
        </w:rPr>
        <w:t xml:space="preserve">Piotr Trzciński, </w:t>
      </w:r>
      <w:proofErr w:type="spellStart"/>
      <w:r w:rsidRPr="00EB3EF3">
        <w:rPr>
          <w:rFonts w:ascii="Arial" w:hAnsi="Arial" w:cs="Arial"/>
          <w:b/>
          <w:bCs/>
          <w:sz w:val="20"/>
          <w:szCs w:val="20"/>
        </w:rPr>
        <w:t>Head</w:t>
      </w:r>
      <w:proofErr w:type="spellEnd"/>
      <w:r w:rsidRPr="00EB3EF3">
        <w:rPr>
          <w:rFonts w:ascii="Arial" w:hAnsi="Arial" w:cs="Arial"/>
          <w:b/>
          <w:bCs/>
          <w:sz w:val="20"/>
          <w:szCs w:val="20"/>
        </w:rPr>
        <w:t xml:space="preserve"> of Poland, </w:t>
      </w:r>
      <w:proofErr w:type="spellStart"/>
      <w:r w:rsidRPr="00EB3EF3">
        <w:rPr>
          <w:rFonts w:ascii="Arial" w:hAnsi="Arial" w:cs="Arial"/>
          <w:b/>
          <w:bCs/>
          <w:sz w:val="20"/>
          <w:szCs w:val="20"/>
        </w:rPr>
        <w:t>Savills</w:t>
      </w:r>
      <w:proofErr w:type="spellEnd"/>
      <w:r w:rsidRPr="00EB3EF3">
        <w:rPr>
          <w:rFonts w:ascii="Arial" w:hAnsi="Arial" w:cs="Arial"/>
          <w:b/>
          <w:bCs/>
          <w:sz w:val="20"/>
          <w:szCs w:val="20"/>
        </w:rPr>
        <w:t xml:space="preserve"> IM, </w:t>
      </w:r>
      <w:r>
        <w:rPr>
          <w:rFonts w:ascii="Arial" w:hAnsi="Arial" w:cs="Arial"/>
          <w:bCs/>
          <w:sz w:val="20"/>
          <w:szCs w:val="20"/>
        </w:rPr>
        <w:t>dodał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E55534F" w14:textId="47946A0E" w:rsidR="00565DBB" w:rsidRPr="00922617" w:rsidRDefault="00922617" w:rsidP="00F60BE4">
      <w:pPr>
        <w:spacing w:before="100" w:beforeAutospacing="1" w:after="6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22617">
        <w:rPr>
          <w:rFonts w:ascii="Arial" w:hAnsi="Arial" w:cs="Arial"/>
          <w:bCs/>
          <w:i/>
          <w:sz w:val="20"/>
          <w:szCs w:val="20"/>
        </w:rPr>
        <w:t>„</w:t>
      </w:r>
      <w:r w:rsidR="00C310FE" w:rsidRPr="00C310FE">
        <w:rPr>
          <w:rFonts w:ascii="Arial" w:hAnsi="Arial" w:cs="Arial"/>
          <w:bCs/>
          <w:i/>
          <w:sz w:val="20"/>
          <w:szCs w:val="20"/>
        </w:rPr>
        <w:t>Po dostosowaniu naszej strategii dla Polski w 2023 roku w warunkach wysokiej niepewności, liczymy, że przyniesie on dla nas ciekawe możliwości inwestycyjne w kolejnym roku. Spodziewamy się, że stanie się to najwcześniej w drugiej połowie 2024, gdy będziemy mieli większą jasność, co do kształtowania się stóp procentowych, kosztów finansowania, wycen, perspektyw pozyskania przez Polskę środków z KPO, oraz siły popytu najemców. Na naszym rynku wciąż trwa proces poszukiwania cen a powrót do wolumenów transakcji, jakie znamy z poprzednich lat, potrwa naszym zdaniem co najmniej do 2025. Na tym tle, z aktualnym portfelem na poziomie 1,8 mld EUR Polska pozostaje dla nas ważnym, choć oportunistycznym na tle Europy Zachodniej, rynkiem, na którym – ze względu na sprzyjające czynniki fundamentalne - szczególnie atrakcyjne w długim okresie są dla nas sektory miejskiej logistyki oraz mieszkań na wynajem.</w:t>
      </w:r>
      <w:r w:rsidR="00C310FE">
        <w:rPr>
          <w:rFonts w:ascii="Arial" w:hAnsi="Arial" w:cs="Arial"/>
          <w:bCs/>
          <w:i/>
          <w:sz w:val="20"/>
          <w:szCs w:val="20"/>
        </w:rPr>
        <w:t>”</w:t>
      </w:r>
    </w:p>
    <w:p w14:paraId="1B5058C0" w14:textId="346374EE" w:rsidR="00565DBB" w:rsidRDefault="00565DBB" w:rsidP="001C2D32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wersja raportu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IM Outlook 2024 dostępna jest pod linkiem</w:t>
      </w:r>
      <w:r w:rsidR="001C2D32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1C2D32" w:rsidRPr="001342E6">
          <w:rPr>
            <w:rStyle w:val="Hipercze"/>
            <w:rFonts w:ascii="Arial" w:hAnsi="Arial" w:cs="Arial"/>
            <w:sz w:val="20"/>
            <w:szCs w:val="20"/>
          </w:rPr>
          <w:t>https://outlook2024.savillsim.com/</w:t>
        </w:r>
      </w:hyperlink>
      <w:r w:rsidR="001C2D32">
        <w:rPr>
          <w:rFonts w:ascii="Arial" w:hAnsi="Arial" w:cs="Arial"/>
          <w:sz w:val="20"/>
          <w:szCs w:val="20"/>
        </w:rPr>
        <w:t xml:space="preserve"> </w:t>
      </w:r>
    </w:p>
    <w:p w14:paraId="7D329352" w14:textId="27283588" w:rsidR="002E24F4" w:rsidRPr="00A4298C" w:rsidRDefault="002E24F4" w:rsidP="002E24F4">
      <w:pPr>
        <w:spacing w:before="100" w:beforeAutospacing="1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4298C">
        <w:rPr>
          <w:rFonts w:ascii="Arial" w:hAnsi="Arial" w:cs="Arial"/>
          <w:b/>
          <w:sz w:val="20"/>
          <w:szCs w:val="20"/>
          <w:lang w:val="en-US"/>
        </w:rPr>
        <w:t>Koniec</w:t>
      </w:r>
      <w:proofErr w:type="spellEnd"/>
    </w:p>
    <w:p w14:paraId="4C9A7BB8" w14:textId="77777777" w:rsidR="002E24F4" w:rsidRPr="00A4298C" w:rsidRDefault="002E24F4" w:rsidP="002E24F4">
      <w:pPr>
        <w:spacing w:before="100" w:beforeAutospacing="1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bookmarkEnd w:id="0"/>
    <w:p w14:paraId="2C92EDEF" w14:textId="77777777" w:rsidR="002E24F4" w:rsidRPr="002E24F4" w:rsidRDefault="002E24F4" w:rsidP="002E24F4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E24F4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2E24F4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1EA4FB4B" w14:textId="77777777" w:rsidR="00FA5CF5" w:rsidRPr="002E24F4" w:rsidRDefault="00FA5CF5" w:rsidP="00FA5CF5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18"/>
          <w:szCs w:val="18"/>
        </w:rPr>
      </w:pPr>
      <w:proofErr w:type="spellStart"/>
      <w:r w:rsidRPr="002E24F4">
        <w:rPr>
          <w:rFonts w:ascii="Arial" w:hAnsi="Arial" w:cs="Arial"/>
          <w:sz w:val="18"/>
          <w:szCs w:val="18"/>
        </w:rPr>
        <w:t>Savills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Investment Management jest międzynarodowym menedżerem inwestycyjnym </w:t>
      </w:r>
      <w:r>
        <w:rPr>
          <w:rFonts w:ascii="Arial" w:hAnsi="Arial" w:cs="Arial"/>
          <w:sz w:val="18"/>
          <w:szCs w:val="18"/>
        </w:rPr>
        <w:t xml:space="preserve">na </w:t>
      </w:r>
      <w:r w:rsidRPr="002E24F4">
        <w:rPr>
          <w:rFonts w:ascii="Arial" w:hAnsi="Arial" w:cs="Arial"/>
          <w:sz w:val="18"/>
          <w:szCs w:val="18"/>
        </w:rPr>
        <w:t>rynku nieruchomości</w:t>
      </w:r>
      <w:r>
        <w:rPr>
          <w:rFonts w:ascii="Arial" w:hAnsi="Arial" w:cs="Arial"/>
          <w:sz w:val="18"/>
          <w:szCs w:val="18"/>
        </w:rPr>
        <w:t xml:space="preserve">, obecnym od wielu lat w </w:t>
      </w:r>
      <w:r w:rsidRPr="002E24F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2E24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lokalizacjach </w:t>
      </w:r>
      <w:r w:rsidRPr="002E24F4">
        <w:rPr>
          <w:rFonts w:ascii="Arial" w:hAnsi="Arial" w:cs="Arial"/>
          <w:sz w:val="18"/>
          <w:szCs w:val="18"/>
        </w:rPr>
        <w:t>na całym świecie.</w:t>
      </w:r>
    </w:p>
    <w:p w14:paraId="3A492FD5" w14:textId="01D53145" w:rsidR="00FA5CF5" w:rsidRPr="002E24F4" w:rsidRDefault="00FA5CF5" w:rsidP="00FA5CF5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proofErr w:type="spellStart"/>
      <w:r w:rsidRPr="002E24F4">
        <w:rPr>
          <w:rFonts w:ascii="Arial" w:hAnsi="Arial"/>
          <w:sz w:val="18"/>
          <w:szCs w:val="18"/>
        </w:rPr>
        <w:t>Savills</w:t>
      </w:r>
      <w:proofErr w:type="spellEnd"/>
      <w:r w:rsidRPr="002E24F4">
        <w:rPr>
          <w:rFonts w:ascii="Arial" w:hAnsi="Arial"/>
          <w:sz w:val="18"/>
          <w:szCs w:val="18"/>
        </w:rPr>
        <w:t xml:space="preserve"> Investment Management zarządza aktywami o globalnej wartości około </w:t>
      </w:r>
      <w:r>
        <w:rPr>
          <w:rFonts w:ascii="Arial" w:hAnsi="Arial"/>
          <w:sz w:val="18"/>
          <w:szCs w:val="18"/>
        </w:rPr>
        <w:t>24</w:t>
      </w:r>
      <w:r w:rsidRPr="002E24F4">
        <w:rPr>
          <w:rFonts w:ascii="Arial" w:hAnsi="Arial"/>
          <w:sz w:val="18"/>
          <w:szCs w:val="18"/>
        </w:rPr>
        <w:t xml:space="preserve"> mld EUR (stan na </w:t>
      </w:r>
      <w:r>
        <w:rPr>
          <w:rStyle w:val="normaltextrun"/>
          <w:rFonts w:ascii="Arial" w:hAnsi="Arial"/>
          <w:sz w:val="18"/>
          <w:szCs w:val="18"/>
        </w:rPr>
        <w:t>3</w:t>
      </w:r>
      <w:r w:rsidR="000D72BF">
        <w:rPr>
          <w:rStyle w:val="normaltextrun"/>
          <w:rFonts w:ascii="Arial" w:hAnsi="Arial"/>
          <w:sz w:val="18"/>
          <w:szCs w:val="18"/>
        </w:rPr>
        <w:t>0</w:t>
      </w:r>
      <w:r>
        <w:rPr>
          <w:rStyle w:val="normaltextrun"/>
          <w:rFonts w:ascii="Arial" w:hAnsi="Arial"/>
          <w:sz w:val="18"/>
          <w:szCs w:val="18"/>
        </w:rPr>
        <w:t xml:space="preserve"> </w:t>
      </w:r>
      <w:r w:rsidR="000D72BF">
        <w:rPr>
          <w:rStyle w:val="normaltextrun"/>
          <w:rFonts w:ascii="Arial" w:hAnsi="Arial"/>
          <w:sz w:val="18"/>
          <w:szCs w:val="18"/>
        </w:rPr>
        <w:t>czerwca</w:t>
      </w:r>
      <w:r>
        <w:rPr>
          <w:rStyle w:val="normaltextrun"/>
          <w:rFonts w:ascii="Arial" w:hAnsi="Arial"/>
          <w:sz w:val="18"/>
          <w:szCs w:val="18"/>
        </w:rPr>
        <w:t xml:space="preserve"> </w:t>
      </w:r>
      <w:r w:rsidRPr="002E24F4">
        <w:rPr>
          <w:rFonts w:ascii="Arial" w:hAnsi="Arial"/>
          <w:sz w:val="18"/>
          <w:szCs w:val="18"/>
        </w:rPr>
        <w:t>202</w:t>
      </w:r>
      <w:r w:rsidR="000D72BF">
        <w:rPr>
          <w:rFonts w:ascii="Arial" w:hAnsi="Arial"/>
          <w:sz w:val="18"/>
          <w:szCs w:val="18"/>
        </w:rPr>
        <w:t>3</w:t>
      </w:r>
      <w:r w:rsidRPr="002E24F4">
        <w:rPr>
          <w:rFonts w:ascii="Arial" w:hAnsi="Arial"/>
          <w:sz w:val="18"/>
          <w:szCs w:val="18"/>
        </w:rPr>
        <w:t xml:space="preserve"> roku).</w:t>
      </w:r>
      <w:r w:rsidRPr="002E24F4">
        <w:rPr>
          <w:rFonts w:ascii="Arial" w:hAnsi="Arial" w:cs="Arial"/>
          <w:sz w:val="18"/>
          <w:szCs w:val="18"/>
        </w:rPr>
        <w:t xml:space="preserve"> </w:t>
      </w:r>
    </w:p>
    <w:p w14:paraId="24BCD213" w14:textId="77777777" w:rsidR="00FA5CF5" w:rsidRPr="002E24F4" w:rsidRDefault="00FA5CF5" w:rsidP="00FA5CF5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E24F4">
        <w:rPr>
          <w:rFonts w:ascii="Arial" w:hAnsi="Arial"/>
          <w:sz w:val="18"/>
          <w:szCs w:val="18"/>
        </w:rPr>
        <w:t>Savills</w:t>
      </w:r>
      <w:proofErr w:type="spellEnd"/>
      <w:r w:rsidRPr="002E24F4">
        <w:rPr>
          <w:rFonts w:ascii="Arial" w:hAnsi="Arial"/>
          <w:sz w:val="18"/>
          <w:szCs w:val="18"/>
        </w:rPr>
        <w:t xml:space="preserve"> Investment Management oferuje kompleksowe usługi z zakresu zarządzania aktywami </w:t>
      </w:r>
      <w:r w:rsidRPr="002E24F4">
        <w:rPr>
          <w:rFonts w:ascii="Arial" w:hAnsi="Arial"/>
          <w:sz w:val="18"/>
          <w:szCs w:val="18"/>
        </w:rPr>
        <w:br/>
        <w:t xml:space="preserve">i funduszami w formie mandatów inwestycyjnych oraz funduszy dla szerokiego spektrum inwestorów, w tym firm ubezpieczeniowych, funduszy emerytalnych, fundacji i </w:t>
      </w:r>
      <w:r w:rsidRPr="002E24F4">
        <w:rPr>
          <w:rFonts w:ascii="Arial" w:hAnsi="Arial"/>
          <w:i/>
          <w:sz w:val="18"/>
          <w:szCs w:val="18"/>
        </w:rPr>
        <w:t xml:space="preserve">family </w:t>
      </w:r>
      <w:proofErr w:type="spellStart"/>
      <w:r w:rsidRPr="002E24F4">
        <w:rPr>
          <w:rFonts w:ascii="Arial" w:hAnsi="Arial"/>
          <w:i/>
          <w:sz w:val="18"/>
          <w:szCs w:val="18"/>
        </w:rPr>
        <w:t>offices</w:t>
      </w:r>
      <w:proofErr w:type="spellEnd"/>
      <w:r w:rsidRPr="002E24F4">
        <w:rPr>
          <w:rFonts w:ascii="Arial" w:hAnsi="Arial"/>
          <w:sz w:val="18"/>
          <w:szCs w:val="18"/>
        </w:rPr>
        <w:t xml:space="preserve">. Strategie inwestycyjne obejmują zarówno strategie typu </w:t>
      </w:r>
      <w:proofErr w:type="spellStart"/>
      <w:r w:rsidRPr="002E24F4">
        <w:rPr>
          <w:rFonts w:ascii="Arial" w:hAnsi="Arial"/>
          <w:sz w:val="18"/>
          <w:szCs w:val="18"/>
        </w:rPr>
        <w:t>core</w:t>
      </w:r>
      <w:proofErr w:type="spellEnd"/>
      <w:r w:rsidRPr="002E24F4">
        <w:rPr>
          <w:rFonts w:ascii="Arial" w:hAnsi="Arial"/>
          <w:sz w:val="18"/>
          <w:szCs w:val="18"/>
        </w:rPr>
        <w:t xml:space="preserve"> jak i oportunistyczne.</w:t>
      </w:r>
    </w:p>
    <w:p w14:paraId="7AD3F89E" w14:textId="77777777" w:rsidR="00FA5CF5" w:rsidRDefault="00FA5CF5" w:rsidP="00FA5CF5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W Polsce </w:t>
      </w:r>
      <w:proofErr w:type="spellStart"/>
      <w:r w:rsidRPr="002E24F4">
        <w:rPr>
          <w:rFonts w:ascii="Arial" w:hAnsi="Arial"/>
          <w:sz w:val="18"/>
          <w:szCs w:val="18"/>
        </w:rPr>
        <w:t>Savills</w:t>
      </w:r>
      <w:proofErr w:type="spellEnd"/>
      <w:r w:rsidRPr="002E24F4">
        <w:rPr>
          <w:rFonts w:ascii="Arial" w:hAnsi="Arial"/>
          <w:sz w:val="18"/>
          <w:szCs w:val="18"/>
        </w:rPr>
        <w:t xml:space="preserve"> Investment Management zarządza aktywami w sektorach biurowym, magazynowym i handlowym. Ich łączna wartość wynosi około 1,</w:t>
      </w:r>
      <w:r>
        <w:rPr>
          <w:rFonts w:ascii="Arial" w:hAnsi="Arial"/>
          <w:sz w:val="18"/>
          <w:szCs w:val="18"/>
        </w:rPr>
        <w:t>8</w:t>
      </w:r>
      <w:r w:rsidRPr="002E24F4">
        <w:rPr>
          <w:rFonts w:ascii="Arial" w:hAnsi="Arial"/>
          <w:sz w:val="18"/>
          <w:szCs w:val="18"/>
        </w:rPr>
        <w:t xml:space="preserve"> mld EUR. </w:t>
      </w:r>
    </w:p>
    <w:p w14:paraId="7CD72DBE" w14:textId="77777777" w:rsidR="002E24F4" w:rsidRPr="002E24F4" w:rsidRDefault="002E24F4" w:rsidP="002E24F4">
      <w:pPr>
        <w:spacing w:after="60"/>
        <w:jc w:val="both"/>
        <w:rPr>
          <w:rFonts w:ascii="Arial" w:hAnsi="Arial"/>
          <w:sz w:val="18"/>
          <w:szCs w:val="18"/>
        </w:rPr>
      </w:pPr>
    </w:p>
    <w:p w14:paraId="6602CE2D" w14:textId="77777777" w:rsidR="002E24F4" w:rsidRPr="002E24F4" w:rsidRDefault="002E24F4" w:rsidP="002E24F4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14AC93CE" w14:textId="06F9A4EC" w:rsidR="002E24F4" w:rsidRPr="002E24F4" w:rsidRDefault="002E24F4" w:rsidP="002E24F4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E24F4">
        <w:rPr>
          <w:rFonts w:ascii="Arial" w:hAnsi="Arial"/>
          <w:b/>
          <w:bCs/>
          <w:sz w:val="18"/>
          <w:szCs w:val="18"/>
        </w:rPr>
        <w:t>Kontakt dla mediów:</w:t>
      </w:r>
      <w:r w:rsidR="004021D1" w:rsidRPr="002E24F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BAEF830" w14:textId="77777777" w:rsidR="002E24F4" w:rsidRPr="002E24F4" w:rsidRDefault="002E24F4" w:rsidP="002E24F4">
      <w:pPr>
        <w:rPr>
          <w:rFonts w:ascii="Arial" w:hAnsi="Arial" w:cs="Arial"/>
          <w:bCs/>
          <w:sz w:val="18"/>
          <w:szCs w:val="18"/>
          <w:lang w:val="de-DE"/>
        </w:rPr>
      </w:pPr>
      <w:r w:rsidRPr="002E24F4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427425AD" w14:textId="77777777" w:rsidR="002E24F4" w:rsidRPr="002E24F4" w:rsidRDefault="002E24F4" w:rsidP="002E24F4">
      <w:pPr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2E24F4">
        <w:rPr>
          <w:rFonts w:ascii="Arial" w:hAnsi="Arial" w:cs="Arial"/>
          <w:bCs/>
          <w:sz w:val="18"/>
          <w:szCs w:val="18"/>
          <w:lang w:val="de-DE"/>
        </w:rPr>
        <w:t>Advanced</w:t>
      </w:r>
      <w:proofErr w:type="spellEnd"/>
      <w:r w:rsidRPr="002E24F4">
        <w:rPr>
          <w:rFonts w:ascii="Arial" w:hAnsi="Arial" w:cs="Arial"/>
          <w:bCs/>
          <w:sz w:val="18"/>
          <w:szCs w:val="18"/>
          <w:lang w:val="de-DE"/>
        </w:rPr>
        <w:t xml:space="preserve"> PR</w:t>
      </w:r>
    </w:p>
    <w:p w14:paraId="7CD62853" w14:textId="68A92F37" w:rsidR="002E24F4" w:rsidRPr="002E24F4" w:rsidRDefault="002E24F4" w:rsidP="002E24F4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2E24F4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1" w:history="1">
        <w:r w:rsidR="001C2D32" w:rsidRPr="001342E6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2E24F4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3ED5E71F" w14:textId="77777777" w:rsidR="002E24F4" w:rsidRPr="002E24F4" w:rsidRDefault="002E24F4" w:rsidP="002E24F4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2E24F4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Tel: </w:t>
      </w:r>
      <w:r w:rsidRPr="002E24F4">
        <w:rPr>
          <w:rFonts w:eastAsia="Calibri"/>
          <w:noProof/>
          <w:color w:val="000000"/>
          <w:sz w:val="20"/>
          <w:szCs w:val="20"/>
          <w:lang w:val="en-US" w:eastAsia="pl-PL"/>
        </w:rPr>
        <w:t>+48 728 826 023</w:t>
      </w:r>
    </w:p>
    <w:p w14:paraId="7081AE0D" w14:textId="77777777" w:rsidR="002B5F30" w:rsidRDefault="002B5F30"/>
    <w:sectPr w:rsidR="002B5F30" w:rsidSect="0087311B">
      <w:headerReference w:type="default" r:id="rId12"/>
      <w:headerReference w:type="first" r:id="rId13"/>
      <w:pgSz w:w="11906" w:h="16838"/>
      <w:pgMar w:top="1720" w:right="1440" w:bottom="851" w:left="1440" w:header="993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C48F45" w16cex:dateUtc="2023-12-01T1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32EF" w14:textId="77777777" w:rsidR="009F2955" w:rsidRDefault="009F2955">
      <w:r>
        <w:separator/>
      </w:r>
    </w:p>
  </w:endnote>
  <w:endnote w:type="continuationSeparator" w:id="0">
    <w:p w14:paraId="57A80E53" w14:textId="77777777" w:rsidR="009F2955" w:rsidRDefault="009F2955">
      <w:r>
        <w:continuationSeparator/>
      </w:r>
    </w:p>
  </w:endnote>
  <w:endnote w:type="continuationNotice" w:id="1">
    <w:p w14:paraId="0BAC8302" w14:textId="77777777" w:rsidR="009F2955" w:rsidRDefault="009F2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8197" w14:textId="77777777" w:rsidR="009F2955" w:rsidRDefault="009F2955">
      <w:r>
        <w:separator/>
      </w:r>
    </w:p>
  </w:footnote>
  <w:footnote w:type="continuationSeparator" w:id="0">
    <w:p w14:paraId="3E3CA23E" w14:textId="77777777" w:rsidR="009F2955" w:rsidRDefault="009F2955">
      <w:r>
        <w:continuationSeparator/>
      </w:r>
    </w:p>
  </w:footnote>
  <w:footnote w:type="continuationNotice" w:id="1">
    <w:p w14:paraId="3C007875" w14:textId="77777777" w:rsidR="009F2955" w:rsidRDefault="009F2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46BA" w14:textId="77777777" w:rsidR="0011343A" w:rsidRDefault="00CF1D05">
    <w:pPr>
      <w:pStyle w:val="Nagwek"/>
    </w:pPr>
    <w:r>
      <w:t xml:space="preserve"> </w:t>
    </w:r>
    <w:r>
      <w:tab/>
    </w:r>
    <w:r>
      <w:tab/>
    </w:r>
    <w:r>
      <w:rPr>
        <w:rFonts w:ascii="Arial" w:hAnsi="Arial"/>
        <w:b/>
      </w:rPr>
      <w:t>INFORMACJA PRASOWA</w:t>
    </w:r>
  </w:p>
  <w:p w14:paraId="61C30D2F" w14:textId="77777777" w:rsidR="0011343A" w:rsidRDefault="00113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3D95" w14:textId="3ED79D92" w:rsidR="0011343A" w:rsidRDefault="00CF1D05" w:rsidP="0087311B">
    <w:pPr>
      <w:pStyle w:val="Nagwek"/>
      <w:tabs>
        <w:tab w:val="clear" w:pos="4513"/>
        <w:tab w:val="clear" w:pos="9026"/>
      </w:tabs>
    </w:pPr>
    <w:r>
      <w:rPr>
        <w:noProof/>
        <w:lang w:eastAsia="pl-PL"/>
      </w:rPr>
      <w:drawing>
        <wp:inline distT="0" distB="0" distL="0" distR="0" wp14:anchorId="5F3C4745" wp14:editId="5FB473E8">
          <wp:extent cx="1497603" cy="490855"/>
          <wp:effectExtent l="0" t="0" r="0" b="0"/>
          <wp:docPr id="27" name="Obraz 2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51" cy="492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B4D"/>
    <w:multiLevelType w:val="hybridMultilevel"/>
    <w:tmpl w:val="DDA4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BAE"/>
    <w:multiLevelType w:val="hybridMultilevel"/>
    <w:tmpl w:val="D38E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304E5"/>
    <w:multiLevelType w:val="hybridMultilevel"/>
    <w:tmpl w:val="CEA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CB1"/>
    <w:multiLevelType w:val="hybridMultilevel"/>
    <w:tmpl w:val="7B4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0E18"/>
    <w:multiLevelType w:val="hybridMultilevel"/>
    <w:tmpl w:val="DFF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7E00"/>
    <w:multiLevelType w:val="hybridMultilevel"/>
    <w:tmpl w:val="117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C5910"/>
    <w:multiLevelType w:val="hybridMultilevel"/>
    <w:tmpl w:val="F364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A45F5"/>
    <w:multiLevelType w:val="hybridMultilevel"/>
    <w:tmpl w:val="039CC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2B4D"/>
    <w:multiLevelType w:val="hybridMultilevel"/>
    <w:tmpl w:val="DCD0DA8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63"/>
    <w:rsid w:val="00004976"/>
    <w:rsid w:val="0000548A"/>
    <w:rsid w:val="000061DB"/>
    <w:rsid w:val="0000720F"/>
    <w:rsid w:val="00012AC4"/>
    <w:rsid w:val="000162CB"/>
    <w:rsid w:val="00020591"/>
    <w:rsid w:val="000219E6"/>
    <w:rsid w:val="00022787"/>
    <w:rsid w:val="0003019F"/>
    <w:rsid w:val="00036B23"/>
    <w:rsid w:val="00045A28"/>
    <w:rsid w:val="00053676"/>
    <w:rsid w:val="00074DDE"/>
    <w:rsid w:val="000813B5"/>
    <w:rsid w:val="00082F2C"/>
    <w:rsid w:val="000834E3"/>
    <w:rsid w:val="00092BC2"/>
    <w:rsid w:val="000A689F"/>
    <w:rsid w:val="000C0A7E"/>
    <w:rsid w:val="000D0D20"/>
    <w:rsid w:val="000D72BF"/>
    <w:rsid w:val="000F041D"/>
    <w:rsid w:val="000F5377"/>
    <w:rsid w:val="0010788A"/>
    <w:rsid w:val="00111065"/>
    <w:rsid w:val="00112047"/>
    <w:rsid w:val="0011343A"/>
    <w:rsid w:val="001148EA"/>
    <w:rsid w:val="0013674E"/>
    <w:rsid w:val="00141329"/>
    <w:rsid w:val="00145CBC"/>
    <w:rsid w:val="001511C6"/>
    <w:rsid w:val="0015237C"/>
    <w:rsid w:val="00171CFA"/>
    <w:rsid w:val="00172190"/>
    <w:rsid w:val="00172D62"/>
    <w:rsid w:val="00173F74"/>
    <w:rsid w:val="00176E7B"/>
    <w:rsid w:val="0017702E"/>
    <w:rsid w:val="00180B21"/>
    <w:rsid w:val="00182FDF"/>
    <w:rsid w:val="001850E9"/>
    <w:rsid w:val="001859A8"/>
    <w:rsid w:val="001924F4"/>
    <w:rsid w:val="00193354"/>
    <w:rsid w:val="00194900"/>
    <w:rsid w:val="00196522"/>
    <w:rsid w:val="001A0A70"/>
    <w:rsid w:val="001B49FF"/>
    <w:rsid w:val="001B58CE"/>
    <w:rsid w:val="001C22BD"/>
    <w:rsid w:val="001C2D32"/>
    <w:rsid w:val="001C3AC1"/>
    <w:rsid w:val="001C6ADD"/>
    <w:rsid w:val="001D0E84"/>
    <w:rsid w:val="001D28AA"/>
    <w:rsid w:val="001D29BF"/>
    <w:rsid w:val="001D48C8"/>
    <w:rsid w:val="001E4A58"/>
    <w:rsid w:val="001F0878"/>
    <w:rsid w:val="001F4CEE"/>
    <w:rsid w:val="002040E8"/>
    <w:rsid w:val="002052A5"/>
    <w:rsid w:val="002153DD"/>
    <w:rsid w:val="00220134"/>
    <w:rsid w:val="00220DB1"/>
    <w:rsid w:val="00230C2E"/>
    <w:rsid w:val="002409B7"/>
    <w:rsid w:val="00240A35"/>
    <w:rsid w:val="00256BEA"/>
    <w:rsid w:val="00262267"/>
    <w:rsid w:val="0026294A"/>
    <w:rsid w:val="002639A6"/>
    <w:rsid w:val="00263D5F"/>
    <w:rsid w:val="00270F1E"/>
    <w:rsid w:val="00275E8F"/>
    <w:rsid w:val="002765FF"/>
    <w:rsid w:val="002775BF"/>
    <w:rsid w:val="00291ACF"/>
    <w:rsid w:val="002957F3"/>
    <w:rsid w:val="002A3936"/>
    <w:rsid w:val="002A5EEF"/>
    <w:rsid w:val="002B1CEA"/>
    <w:rsid w:val="002B5F30"/>
    <w:rsid w:val="002C2DCD"/>
    <w:rsid w:val="002D44AE"/>
    <w:rsid w:val="002E24F4"/>
    <w:rsid w:val="002E5EAB"/>
    <w:rsid w:val="002F5D39"/>
    <w:rsid w:val="00300CFE"/>
    <w:rsid w:val="00300EF3"/>
    <w:rsid w:val="00304562"/>
    <w:rsid w:val="00306691"/>
    <w:rsid w:val="00307C0A"/>
    <w:rsid w:val="003272FD"/>
    <w:rsid w:val="00340C2F"/>
    <w:rsid w:val="0034213F"/>
    <w:rsid w:val="00346AD5"/>
    <w:rsid w:val="00354589"/>
    <w:rsid w:val="0037774F"/>
    <w:rsid w:val="00380167"/>
    <w:rsid w:val="00381189"/>
    <w:rsid w:val="003968CF"/>
    <w:rsid w:val="003A1FC1"/>
    <w:rsid w:val="003B29A9"/>
    <w:rsid w:val="003B487A"/>
    <w:rsid w:val="003B6CB4"/>
    <w:rsid w:val="003C0D4E"/>
    <w:rsid w:val="003C2573"/>
    <w:rsid w:val="003C52E8"/>
    <w:rsid w:val="003C6126"/>
    <w:rsid w:val="003D3D5A"/>
    <w:rsid w:val="003E535D"/>
    <w:rsid w:val="003E7E08"/>
    <w:rsid w:val="004021D1"/>
    <w:rsid w:val="004029D1"/>
    <w:rsid w:val="004043BF"/>
    <w:rsid w:val="004065AF"/>
    <w:rsid w:val="0041788B"/>
    <w:rsid w:val="004227CD"/>
    <w:rsid w:val="004324D7"/>
    <w:rsid w:val="0043548D"/>
    <w:rsid w:val="004361CF"/>
    <w:rsid w:val="00436CA8"/>
    <w:rsid w:val="004376FE"/>
    <w:rsid w:val="00441773"/>
    <w:rsid w:val="00451D09"/>
    <w:rsid w:val="0045666B"/>
    <w:rsid w:val="0046229E"/>
    <w:rsid w:val="004651F2"/>
    <w:rsid w:val="004755DB"/>
    <w:rsid w:val="00480BC8"/>
    <w:rsid w:val="00482004"/>
    <w:rsid w:val="004824EC"/>
    <w:rsid w:val="004927C1"/>
    <w:rsid w:val="004A7BAC"/>
    <w:rsid w:val="004B1AF8"/>
    <w:rsid w:val="004B640E"/>
    <w:rsid w:val="004C0476"/>
    <w:rsid w:val="004D2E82"/>
    <w:rsid w:val="004D3FDB"/>
    <w:rsid w:val="004D5CC0"/>
    <w:rsid w:val="004D5FCA"/>
    <w:rsid w:val="0051415B"/>
    <w:rsid w:val="00525821"/>
    <w:rsid w:val="00527605"/>
    <w:rsid w:val="0053033A"/>
    <w:rsid w:val="00534730"/>
    <w:rsid w:val="00556F5E"/>
    <w:rsid w:val="00561765"/>
    <w:rsid w:val="00565DBB"/>
    <w:rsid w:val="005677D9"/>
    <w:rsid w:val="00567C17"/>
    <w:rsid w:val="005702B8"/>
    <w:rsid w:val="005800BB"/>
    <w:rsid w:val="00580C9C"/>
    <w:rsid w:val="005870C8"/>
    <w:rsid w:val="005A273E"/>
    <w:rsid w:val="005A43AA"/>
    <w:rsid w:val="005A7F81"/>
    <w:rsid w:val="005B1842"/>
    <w:rsid w:val="005B2A15"/>
    <w:rsid w:val="005B7BDB"/>
    <w:rsid w:val="005C5161"/>
    <w:rsid w:val="005C6DC5"/>
    <w:rsid w:val="005D4AA6"/>
    <w:rsid w:val="005D6D30"/>
    <w:rsid w:val="005F5C2C"/>
    <w:rsid w:val="00601EFF"/>
    <w:rsid w:val="00616439"/>
    <w:rsid w:val="00620019"/>
    <w:rsid w:val="00625809"/>
    <w:rsid w:val="00636729"/>
    <w:rsid w:val="0064019D"/>
    <w:rsid w:val="006431A6"/>
    <w:rsid w:val="00654F94"/>
    <w:rsid w:val="006642C8"/>
    <w:rsid w:val="0067242D"/>
    <w:rsid w:val="006740F1"/>
    <w:rsid w:val="00682343"/>
    <w:rsid w:val="006943A7"/>
    <w:rsid w:val="006962DE"/>
    <w:rsid w:val="00696750"/>
    <w:rsid w:val="006A0D03"/>
    <w:rsid w:val="006A4435"/>
    <w:rsid w:val="006B13F9"/>
    <w:rsid w:val="006D245B"/>
    <w:rsid w:val="006D582F"/>
    <w:rsid w:val="006E0692"/>
    <w:rsid w:val="006E77DC"/>
    <w:rsid w:val="006F1C98"/>
    <w:rsid w:val="006F4F7E"/>
    <w:rsid w:val="00700041"/>
    <w:rsid w:val="00711556"/>
    <w:rsid w:val="0071722D"/>
    <w:rsid w:val="007229EA"/>
    <w:rsid w:val="0072704B"/>
    <w:rsid w:val="00733917"/>
    <w:rsid w:val="00735765"/>
    <w:rsid w:val="00735931"/>
    <w:rsid w:val="00750E30"/>
    <w:rsid w:val="0075132C"/>
    <w:rsid w:val="00752E1C"/>
    <w:rsid w:val="00752E51"/>
    <w:rsid w:val="00756C92"/>
    <w:rsid w:val="0077474B"/>
    <w:rsid w:val="0077706D"/>
    <w:rsid w:val="00781AB8"/>
    <w:rsid w:val="0078317D"/>
    <w:rsid w:val="00785E0C"/>
    <w:rsid w:val="00790EBF"/>
    <w:rsid w:val="00793121"/>
    <w:rsid w:val="007A6C58"/>
    <w:rsid w:val="007B36F1"/>
    <w:rsid w:val="007D385A"/>
    <w:rsid w:val="007D4AC0"/>
    <w:rsid w:val="007D6A1C"/>
    <w:rsid w:val="007E2166"/>
    <w:rsid w:val="007E37D1"/>
    <w:rsid w:val="007E68BD"/>
    <w:rsid w:val="007E7087"/>
    <w:rsid w:val="007E77ED"/>
    <w:rsid w:val="007F0205"/>
    <w:rsid w:val="007F032D"/>
    <w:rsid w:val="007F12C5"/>
    <w:rsid w:val="007F2EA6"/>
    <w:rsid w:val="007F4087"/>
    <w:rsid w:val="008118FD"/>
    <w:rsid w:val="008260BD"/>
    <w:rsid w:val="0083329C"/>
    <w:rsid w:val="008442DF"/>
    <w:rsid w:val="00846355"/>
    <w:rsid w:val="0085687D"/>
    <w:rsid w:val="008604ED"/>
    <w:rsid w:val="008611C8"/>
    <w:rsid w:val="00872D5E"/>
    <w:rsid w:val="0087311B"/>
    <w:rsid w:val="0087399B"/>
    <w:rsid w:val="00882996"/>
    <w:rsid w:val="00892CE5"/>
    <w:rsid w:val="008A647A"/>
    <w:rsid w:val="008B17F1"/>
    <w:rsid w:val="008B29B9"/>
    <w:rsid w:val="008B5152"/>
    <w:rsid w:val="008C1B64"/>
    <w:rsid w:val="008D1FBF"/>
    <w:rsid w:val="008D7ECD"/>
    <w:rsid w:val="008E005B"/>
    <w:rsid w:val="008E0A8B"/>
    <w:rsid w:val="008E54BA"/>
    <w:rsid w:val="008E7641"/>
    <w:rsid w:val="008F42A0"/>
    <w:rsid w:val="00922617"/>
    <w:rsid w:val="00924723"/>
    <w:rsid w:val="009259E3"/>
    <w:rsid w:val="009315A1"/>
    <w:rsid w:val="00931DFC"/>
    <w:rsid w:val="00933151"/>
    <w:rsid w:val="0093394A"/>
    <w:rsid w:val="0094306E"/>
    <w:rsid w:val="00947EE3"/>
    <w:rsid w:val="0095124F"/>
    <w:rsid w:val="009540F1"/>
    <w:rsid w:val="00954C10"/>
    <w:rsid w:val="0095769E"/>
    <w:rsid w:val="009601E9"/>
    <w:rsid w:val="00963F46"/>
    <w:rsid w:val="0097063A"/>
    <w:rsid w:val="00976CF2"/>
    <w:rsid w:val="009778E1"/>
    <w:rsid w:val="00987761"/>
    <w:rsid w:val="00991327"/>
    <w:rsid w:val="00991E5D"/>
    <w:rsid w:val="009922F1"/>
    <w:rsid w:val="009B09ED"/>
    <w:rsid w:val="009C744F"/>
    <w:rsid w:val="009D1659"/>
    <w:rsid w:val="009E313C"/>
    <w:rsid w:val="009E44CB"/>
    <w:rsid w:val="009F013D"/>
    <w:rsid w:val="009F2955"/>
    <w:rsid w:val="009F4276"/>
    <w:rsid w:val="00A11A9F"/>
    <w:rsid w:val="00A11AD0"/>
    <w:rsid w:val="00A14E02"/>
    <w:rsid w:val="00A242CD"/>
    <w:rsid w:val="00A272EE"/>
    <w:rsid w:val="00A33B30"/>
    <w:rsid w:val="00A34C39"/>
    <w:rsid w:val="00A4018D"/>
    <w:rsid w:val="00A42652"/>
    <w:rsid w:val="00A4298C"/>
    <w:rsid w:val="00A46A58"/>
    <w:rsid w:val="00A47763"/>
    <w:rsid w:val="00A5208D"/>
    <w:rsid w:val="00A57CFE"/>
    <w:rsid w:val="00A65FF4"/>
    <w:rsid w:val="00A769AE"/>
    <w:rsid w:val="00A81B41"/>
    <w:rsid w:val="00A8751D"/>
    <w:rsid w:val="00A900A9"/>
    <w:rsid w:val="00A930DA"/>
    <w:rsid w:val="00A93918"/>
    <w:rsid w:val="00A93F2D"/>
    <w:rsid w:val="00AA0DD9"/>
    <w:rsid w:val="00AA20E9"/>
    <w:rsid w:val="00AA6C29"/>
    <w:rsid w:val="00AB3914"/>
    <w:rsid w:val="00AB537F"/>
    <w:rsid w:val="00AB598E"/>
    <w:rsid w:val="00AC0205"/>
    <w:rsid w:val="00AC4BDA"/>
    <w:rsid w:val="00AE7E03"/>
    <w:rsid w:val="00AF48AB"/>
    <w:rsid w:val="00B02BFF"/>
    <w:rsid w:val="00B033E7"/>
    <w:rsid w:val="00B03F37"/>
    <w:rsid w:val="00B06945"/>
    <w:rsid w:val="00B2783F"/>
    <w:rsid w:val="00B31E3D"/>
    <w:rsid w:val="00B40242"/>
    <w:rsid w:val="00B409EC"/>
    <w:rsid w:val="00B4224B"/>
    <w:rsid w:val="00B43516"/>
    <w:rsid w:val="00B44FC6"/>
    <w:rsid w:val="00B45946"/>
    <w:rsid w:val="00B4629E"/>
    <w:rsid w:val="00B51225"/>
    <w:rsid w:val="00B54785"/>
    <w:rsid w:val="00B557F5"/>
    <w:rsid w:val="00B57D5F"/>
    <w:rsid w:val="00B612C2"/>
    <w:rsid w:val="00B705DC"/>
    <w:rsid w:val="00B70D5F"/>
    <w:rsid w:val="00B71867"/>
    <w:rsid w:val="00B80280"/>
    <w:rsid w:val="00B84662"/>
    <w:rsid w:val="00B949FA"/>
    <w:rsid w:val="00BB42F0"/>
    <w:rsid w:val="00BB6F3E"/>
    <w:rsid w:val="00BD585B"/>
    <w:rsid w:val="00BD6963"/>
    <w:rsid w:val="00BE7B6F"/>
    <w:rsid w:val="00BF0372"/>
    <w:rsid w:val="00BF46B1"/>
    <w:rsid w:val="00BF51C3"/>
    <w:rsid w:val="00BF7335"/>
    <w:rsid w:val="00C0117B"/>
    <w:rsid w:val="00C12A81"/>
    <w:rsid w:val="00C14356"/>
    <w:rsid w:val="00C14A38"/>
    <w:rsid w:val="00C17A43"/>
    <w:rsid w:val="00C17FD3"/>
    <w:rsid w:val="00C20418"/>
    <w:rsid w:val="00C20B0F"/>
    <w:rsid w:val="00C22D27"/>
    <w:rsid w:val="00C25CA6"/>
    <w:rsid w:val="00C310FE"/>
    <w:rsid w:val="00C37919"/>
    <w:rsid w:val="00C37B12"/>
    <w:rsid w:val="00C43A41"/>
    <w:rsid w:val="00C51D76"/>
    <w:rsid w:val="00C526DB"/>
    <w:rsid w:val="00C57F09"/>
    <w:rsid w:val="00C60C6A"/>
    <w:rsid w:val="00C65A1B"/>
    <w:rsid w:val="00C672DD"/>
    <w:rsid w:val="00C76F6D"/>
    <w:rsid w:val="00C853EC"/>
    <w:rsid w:val="00C8710C"/>
    <w:rsid w:val="00C97525"/>
    <w:rsid w:val="00CA4A60"/>
    <w:rsid w:val="00CB1C71"/>
    <w:rsid w:val="00CB2573"/>
    <w:rsid w:val="00CB3342"/>
    <w:rsid w:val="00CB76A9"/>
    <w:rsid w:val="00CB7B12"/>
    <w:rsid w:val="00CD71CE"/>
    <w:rsid w:val="00CE2907"/>
    <w:rsid w:val="00CF1D05"/>
    <w:rsid w:val="00CF4D8D"/>
    <w:rsid w:val="00CF590E"/>
    <w:rsid w:val="00D12826"/>
    <w:rsid w:val="00D14A4A"/>
    <w:rsid w:val="00D307CB"/>
    <w:rsid w:val="00D31180"/>
    <w:rsid w:val="00D34EF6"/>
    <w:rsid w:val="00D41F26"/>
    <w:rsid w:val="00D45B8D"/>
    <w:rsid w:val="00D46721"/>
    <w:rsid w:val="00D46F43"/>
    <w:rsid w:val="00D70C81"/>
    <w:rsid w:val="00D72AB4"/>
    <w:rsid w:val="00D73226"/>
    <w:rsid w:val="00D750DF"/>
    <w:rsid w:val="00D82568"/>
    <w:rsid w:val="00D8744B"/>
    <w:rsid w:val="00D9318E"/>
    <w:rsid w:val="00D94CA1"/>
    <w:rsid w:val="00DA0C5A"/>
    <w:rsid w:val="00DA5D26"/>
    <w:rsid w:val="00DC462C"/>
    <w:rsid w:val="00DC4841"/>
    <w:rsid w:val="00DC7892"/>
    <w:rsid w:val="00DD1FC5"/>
    <w:rsid w:val="00DD53EE"/>
    <w:rsid w:val="00DD5435"/>
    <w:rsid w:val="00DE081F"/>
    <w:rsid w:val="00DE1414"/>
    <w:rsid w:val="00DE2CE9"/>
    <w:rsid w:val="00DF2190"/>
    <w:rsid w:val="00DF4D3A"/>
    <w:rsid w:val="00E0710B"/>
    <w:rsid w:val="00E129F8"/>
    <w:rsid w:val="00E24AAF"/>
    <w:rsid w:val="00E2508A"/>
    <w:rsid w:val="00E26F99"/>
    <w:rsid w:val="00E27DF7"/>
    <w:rsid w:val="00E34124"/>
    <w:rsid w:val="00E400CB"/>
    <w:rsid w:val="00E520EC"/>
    <w:rsid w:val="00E54C49"/>
    <w:rsid w:val="00E56EFF"/>
    <w:rsid w:val="00E615A5"/>
    <w:rsid w:val="00E658A4"/>
    <w:rsid w:val="00E67576"/>
    <w:rsid w:val="00E708D5"/>
    <w:rsid w:val="00E747A3"/>
    <w:rsid w:val="00E879A1"/>
    <w:rsid w:val="00EA5A6F"/>
    <w:rsid w:val="00EA5CBF"/>
    <w:rsid w:val="00EA7624"/>
    <w:rsid w:val="00EB075F"/>
    <w:rsid w:val="00EB32C8"/>
    <w:rsid w:val="00EB3EF3"/>
    <w:rsid w:val="00EB7C44"/>
    <w:rsid w:val="00ED2557"/>
    <w:rsid w:val="00ED5616"/>
    <w:rsid w:val="00ED7957"/>
    <w:rsid w:val="00EE0EEB"/>
    <w:rsid w:val="00EE4A93"/>
    <w:rsid w:val="00EF05D6"/>
    <w:rsid w:val="00EF172E"/>
    <w:rsid w:val="00EF1E23"/>
    <w:rsid w:val="00EF2EBC"/>
    <w:rsid w:val="00EF77FD"/>
    <w:rsid w:val="00F023FE"/>
    <w:rsid w:val="00F029D2"/>
    <w:rsid w:val="00F074CF"/>
    <w:rsid w:val="00F126A1"/>
    <w:rsid w:val="00F15C39"/>
    <w:rsid w:val="00F20F93"/>
    <w:rsid w:val="00F21351"/>
    <w:rsid w:val="00F22B8C"/>
    <w:rsid w:val="00F23B57"/>
    <w:rsid w:val="00F24898"/>
    <w:rsid w:val="00F26047"/>
    <w:rsid w:val="00F26444"/>
    <w:rsid w:val="00F33317"/>
    <w:rsid w:val="00F50BB3"/>
    <w:rsid w:val="00F540CC"/>
    <w:rsid w:val="00F54968"/>
    <w:rsid w:val="00F60BE4"/>
    <w:rsid w:val="00F71181"/>
    <w:rsid w:val="00F76AB6"/>
    <w:rsid w:val="00F85A09"/>
    <w:rsid w:val="00F92681"/>
    <w:rsid w:val="00F9555C"/>
    <w:rsid w:val="00F9674C"/>
    <w:rsid w:val="00F97DB9"/>
    <w:rsid w:val="00FA2418"/>
    <w:rsid w:val="00FA5CF5"/>
    <w:rsid w:val="00FC1999"/>
    <w:rsid w:val="00FD06EB"/>
    <w:rsid w:val="00FD071A"/>
    <w:rsid w:val="00FD381D"/>
    <w:rsid w:val="00FE3624"/>
    <w:rsid w:val="00FE74C1"/>
    <w:rsid w:val="00FF0609"/>
    <w:rsid w:val="00FF444A"/>
    <w:rsid w:val="0175564C"/>
    <w:rsid w:val="0358AD78"/>
    <w:rsid w:val="06DB48A5"/>
    <w:rsid w:val="0FD5D8F3"/>
    <w:rsid w:val="1482D87A"/>
    <w:rsid w:val="150A63AA"/>
    <w:rsid w:val="187736E4"/>
    <w:rsid w:val="1989E922"/>
    <w:rsid w:val="1A66BAF2"/>
    <w:rsid w:val="1AE96EDE"/>
    <w:rsid w:val="1AEBB7C5"/>
    <w:rsid w:val="1DA8C753"/>
    <w:rsid w:val="20D719C9"/>
    <w:rsid w:val="23FEE07A"/>
    <w:rsid w:val="295ACED7"/>
    <w:rsid w:val="446245A0"/>
    <w:rsid w:val="45E794C7"/>
    <w:rsid w:val="4D289C20"/>
    <w:rsid w:val="4F104897"/>
    <w:rsid w:val="501A3E8F"/>
    <w:rsid w:val="54867B11"/>
    <w:rsid w:val="5523D3F4"/>
    <w:rsid w:val="5F70B851"/>
    <w:rsid w:val="6170E152"/>
    <w:rsid w:val="75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67AD"/>
  <w15:docId w15:val="{8F1F0E91-9C63-4653-821C-E3414DF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7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7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763"/>
    <w:rPr>
      <w:rFonts w:ascii="Calibri" w:hAnsi="Calibri" w:cs="Calibri"/>
      <w:lang w:eastAsia="en-GB"/>
    </w:rPr>
  </w:style>
  <w:style w:type="paragraph" w:styleId="Akapitzlist">
    <w:name w:val="List Paragraph"/>
    <w:basedOn w:val="Normalny"/>
    <w:uiPriority w:val="34"/>
    <w:qFormat/>
    <w:rsid w:val="00A47763"/>
    <w:pPr>
      <w:ind w:left="720"/>
      <w:contextualSpacing/>
    </w:pPr>
  </w:style>
  <w:style w:type="paragraph" w:customStyle="1" w:styleId="paragraph">
    <w:name w:val="paragraph"/>
    <w:basedOn w:val="Normalny"/>
    <w:rsid w:val="00A47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A47763"/>
  </w:style>
  <w:style w:type="character" w:styleId="Hipercze">
    <w:name w:val="Hyperlink"/>
    <w:basedOn w:val="Domylnaczcionkaakapitu"/>
    <w:uiPriority w:val="99"/>
    <w:unhideWhenUsed/>
    <w:rsid w:val="00A47763"/>
    <w:rPr>
      <w:color w:val="0563C1" w:themeColor="hyperlink"/>
      <w:u w:val="single"/>
    </w:rPr>
  </w:style>
  <w:style w:type="paragraph" w:customStyle="1" w:styleId="Bullet">
    <w:name w:val="Bullet"/>
    <w:basedOn w:val="Tekstpodstawowy"/>
    <w:link w:val="BulletChar"/>
    <w:uiPriority w:val="3"/>
    <w:qFormat/>
    <w:rsid w:val="00A47763"/>
    <w:pPr>
      <w:numPr>
        <w:numId w:val="1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A47763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763"/>
    <w:rPr>
      <w:rFonts w:ascii="Calibri" w:hAnsi="Calibri" w:cs="Calibri"/>
      <w:lang w:eastAsia="en-GB"/>
    </w:rPr>
  </w:style>
  <w:style w:type="character" w:customStyle="1" w:styleId="eop">
    <w:name w:val="eop"/>
    <w:basedOn w:val="Domylnaczcionkaakapitu"/>
    <w:rsid w:val="00DC7892"/>
  </w:style>
  <w:style w:type="paragraph" w:styleId="Stopka">
    <w:name w:val="footer"/>
    <w:basedOn w:val="Normalny"/>
    <w:link w:val="StopkaZnak"/>
    <w:uiPriority w:val="99"/>
    <w:unhideWhenUsed/>
    <w:rsid w:val="008731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11B"/>
    <w:rPr>
      <w:rFonts w:ascii="Calibri" w:hAnsi="Calibri" w:cs="Calibri"/>
      <w:lang w:eastAsia="en-GB"/>
    </w:rPr>
  </w:style>
  <w:style w:type="paragraph" w:styleId="Poprawka">
    <w:name w:val="Revision"/>
    <w:hidden/>
    <w:uiPriority w:val="99"/>
    <w:semiHidden/>
    <w:rsid w:val="007F4087"/>
    <w:pPr>
      <w:spacing w:after="0" w:line="240" w:lineRule="auto"/>
    </w:pPr>
    <w:rPr>
      <w:rFonts w:ascii="Calibri" w:hAnsi="Calibri" w:cs="Calibri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087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087"/>
    <w:rPr>
      <w:rFonts w:ascii="Calibri" w:hAnsi="Calibri" w:cs="Calibri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87"/>
    <w:rPr>
      <w:rFonts w:ascii="Segoe U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F2D"/>
    <w:rPr>
      <w:rFonts w:ascii="Calibri" w:hAnsi="Calibri" w:cs="Calibri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F2D"/>
    <w:rPr>
      <w:vertAlign w:val="superscript"/>
    </w:rPr>
  </w:style>
  <w:style w:type="character" w:customStyle="1" w:styleId="rynqvb">
    <w:name w:val="rynqvb"/>
    <w:basedOn w:val="Domylnaczcionkaakapitu"/>
    <w:rsid w:val="002052A5"/>
  </w:style>
  <w:style w:type="character" w:styleId="Nierozpoznanawzmianka">
    <w:name w:val="Unresolved Mention"/>
    <w:basedOn w:val="Domylnaczcionkaakapitu"/>
    <w:uiPriority w:val="99"/>
    <w:semiHidden/>
    <w:unhideWhenUsed/>
    <w:rsid w:val="001C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wielgus@advancedpr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utlook2024.savillsi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25AC237A604CA31DAB2361D23209" ma:contentTypeVersion="" ma:contentTypeDescription="Create a new document." ma:contentTypeScope="" ma:versionID="4dbedea92e95cf37d7048f8fcb3cbeb6">
  <xsd:schema xmlns:xsd="http://www.w3.org/2001/XMLSchema" xmlns:xs="http://www.w3.org/2001/XMLSchema" xmlns:p="http://schemas.microsoft.com/office/2006/metadata/properties" xmlns:ns2="d7427da7-7ce4-4c27-a67b-a9e202662093" xmlns:ns3="b3048f03-835c-46c8-bcab-4a4e04b3c940" targetNamespace="http://schemas.microsoft.com/office/2006/metadata/properties" ma:root="true" ma:fieldsID="dfa923b9f7884c2a2bf98fa9f543c044" ns2:_="" ns3:_="">
    <xsd:import namespace="d7427da7-7ce4-4c27-a67b-a9e202662093"/>
    <xsd:import namespace="b3048f03-835c-46c8-bcab-4a4e04b3c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7da7-7ce4-4c27-a67b-a9e20266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8f03-835c-46c8-bcab-4a4e04b3c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c76d52-e47d-4f9f-819f-7bf9b7694047}" ma:internalName="TaxCatchAll" ma:showField="CatchAllData" ma:web="b3048f03-835c-46c8-bcab-4a4e04b3c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48f03-835c-46c8-bcab-4a4e04b3c940" xsi:nil="true"/>
    <lcf76f155ced4ddcb4097134ff3c332f xmlns="d7427da7-7ce4-4c27-a67b-a9e2026620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E7FD4-0D3A-449C-9925-B188F58A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7da7-7ce4-4c27-a67b-a9e202662093"/>
    <ds:schemaRef ds:uri="b3048f03-835c-46c8-bcab-4a4e04b3c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65BA4-0172-4757-A17B-C6CCF2D4F776}">
  <ds:schemaRefs>
    <ds:schemaRef ds:uri="http://schemas.microsoft.com/office/2006/metadata/properties"/>
    <ds:schemaRef ds:uri="http://schemas.microsoft.com/office/infopath/2007/PartnerControls"/>
    <ds:schemaRef ds:uri="b3048f03-835c-46c8-bcab-4a4e04b3c940"/>
    <ds:schemaRef ds:uri="d7427da7-7ce4-4c27-a67b-a9e202662093"/>
  </ds:schemaRefs>
</ds:datastoreItem>
</file>

<file path=customXml/itemProps3.xml><?xml version="1.0" encoding="utf-8"?>
<ds:datastoreItem xmlns:ds="http://schemas.openxmlformats.org/officeDocument/2006/customXml" ds:itemID="{9FBA6B23-3F6B-4260-AFAB-A597E8253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Gardner</dc:creator>
  <cp:keywords/>
  <cp:lastModifiedBy>Krzysztof Wielgus</cp:lastModifiedBy>
  <cp:revision>5</cp:revision>
  <dcterms:created xsi:type="dcterms:W3CDTF">2023-12-01T17:14:00Z</dcterms:created>
  <dcterms:modified xsi:type="dcterms:W3CDTF">2023-12-05T07:38:00Z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0x010100F8BE25AC237A604CA31DAB2361D23209</vt:lpwstr>
  </property>
  <property fmtid="{D5CDD505-2E9C-101B-9397-08002B2CF9AE}" pid="3" name="MediaServiceImageTags">
    <vt:lpwstr/>
  </property>
</Properties>
</file>